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11" w:rsidRPr="00D03511" w:rsidRDefault="00D03511" w:rsidP="00D03511">
      <w:pPr>
        <w:spacing w:after="0" w:line="240" w:lineRule="auto"/>
        <w:rPr>
          <w:rFonts w:ascii="ambleregular" w:eastAsia="Times New Roman" w:hAnsi="ambleregular" w:cs="Times New Roman"/>
          <w:b/>
          <w:bCs/>
          <w:lang w:eastAsia="de-DE"/>
        </w:rPr>
      </w:pPr>
      <w:bookmarkStart w:id="0" w:name="DocInhalt"/>
      <w:bookmarkEnd w:id="0"/>
      <w:r w:rsidRPr="00D03511">
        <w:rPr>
          <w:rFonts w:ascii="ambleregular" w:eastAsia="Times New Roman" w:hAnsi="ambleregular" w:cs="Times New Roman"/>
          <w:b/>
          <w:bCs/>
          <w:lang w:eastAsia="de-DE"/>
        </w:rPr>
        <w:t>Hessisches Landesarbeitsgericht 16. Kammer 20.03.2017 Aktenzeichen 16 TaBV 12/17</w:t>
      </w:r>
    </w:p>
    <w:p w:rsidR="00D03511" w:rsidRPr="00D03511" w:rsidRDefault="00D03511" w:rsidP="00D03511">
      <w:pPr>
        <w:spacing w:after="0" w:line="240" w:lineRule="auto"/>
        <w:rPr>
          <w:rFonts w:ascii="ambleregular" w:eastAsia="Times New Roman" w:hAnsi="ambleregular" w:cs="Times New Roman"/>
          <w:b/>
          <w:bCs/>
          <w:lang w:eastAsia="de-DE"/>
        </w:rPr>
      </w:pPr>
      <w:r w:rsidRPr="00D03511">
        <w:rPr>
          <w:rFonts w:ascii="ambleregular" w:eastAsia="Times New Roman" w:hAnsi="ambleregular" w:cs="Times New Roman"/>
          <w:b/>
          <w:bCs/>
          <w:lang w:eastAsia="de-DE"/>
        </w:rPr>
        <w:t>Dokumenttyp:</w:t>
      </w:r>
      <w:r w:rsidRPr="00D03511">
        <w:rPr>
          <w:rFonts w:ascii="ambleregular" w:eastAsia="Times New Roman" w:hAnsi="ambleregular" w:cs="Times New Roman"/>
          <w:b/>
          <w:bCs/>
          <w:lang w:eastAsia="de-DE"/>
        </w:rPr>
        <w:tab/>
        <w:t>Beschluss</w:t>
      </w:r>
    </w:p>
    <w:p w:rsidR="00C23CDE" w:rsidRPr="00AF1E3F" w:rsidRDefault="00D03511" w:rsidP="00D03511">
      <w:pPr>
        <w:spacing w:after="0" w:line="240" w:lineRule="auto"/>
        <w:rPr>
          <w:rFonts w:ascii="ambleregular" w:eastAsia="Times New Roman" w:hAnsi="ambleregular" w:cs="Times New Roman"/>
          <w:b/>
          <w:bCs/>
          <w:lang w:eastAsia="de-DE"/>
        </w:rPr>
      </w:pPr>
      <w:r>
        <w:rPr>
          <w:rFonts w:ascii="ambleregular" w:eastAsia="Times New Roman" w:hAnsi="ambleregular" w:cs="Times New Roman"/>
          <w:b/>
          <w:bCs/>
          <w:lang w:eastAsia="de-DE"/>
        </w:rPr>
        <w:t xml:space="preserve">Normen: </w:t>
      </w:r>
      <w:r w:rsidRPr="00D03511">
        <w:rPr>
          <w:rFonts w:ascii="ambleregular" w:eastAsia="Times New Roman" w:hAnsi="ambleregular" w:cs="Times New Roman"/>
          <w:b/>
          <w:bCs/>
          <w:lang w:eastAsia="de-DE"/>
        </w:rPr>
        <w:t>§ 79 Abs 1 BetrVG, § 31 BetrVG, § 23 Abs 1 BetrVG, § 111 BetrVG</w:t>
      </w:r>
      <w:r w:rsidRPr="00AF1E3F">
        <w:rPr>
          <w:rStyle w:val="Funotenzeichen"/>
          <w:rFonts w:ascii="Times New Roman" w:eastAsia="Times New Roman" w:hAnsi="Times New Roman" w:cs="Times New Roman"/>
          <w:sz w:val="24"/>
          <w:szCs w:val="24"/>
          <w:lang w:eastAsia="de-DE"/>
        </w:rPr>
        <w:footnoteReference w:id="1"/>
      </w:r>
      <w:r w:rsidRPr="00D03511">
        <w:rPr>
          <w:rFonts w:ascii="ambleregular" w:eastAsia="Times New Roman" w:hAnsi="ambleregular" w:cs="Times New Roman"/>
          <w:b/>
          <w:bCs/>
          <w:lang w:eastAsia="de-DE"/>
        </w:rPr>
        <w:cr/>
      </w:r>
      <w:r w:rsidR="00C23CDE" w:rsidRPr="00AF1E3F">
        <w:rPr>
          <w:rFonts w:ascii="ambleregular" w:eastAsia="Times New Roman" w:hAnsi="ambleregular" w:cs="Times New Roman"/>
          <w:b/>
          <w:bCs/>
          <w:lang w:eastAsia="de-DE"/>
        </w:rPr>
        <w:t>Ausschluss eines Betriebsratsmitglieds aus dem Betriebsrat wegen Verletzung der Geheimha</w:t>
      </w:r>
      <w:r w:rsidR="00C23CDE" w:rsidRPr="00AF1E3F">
        <w:rPr>
          <w:rFonts w:ascii="ambleregular" w:eastAsia="Times New Roman" w:hAnsi="ambleregular" w:cs="Times New Roman"/>
          <w:b/>
          <w:bCs/>
          <w:lang w:eastAsia="de-DE"/>
        </w:rPr>
        <w:t>l</w:t>
      </w:r>
      <w:r w:rsidR="00C23CDE" w:rsidRPr="00AF1E3F">
        <w:rPr>
          <w:rFonts w:ascii="ambleregular" w:eastAsia="Times New Roman" w:hAnsi="ambleregular" w:cs="Times New Roman"/>
          <w:b/>
          <w:bCs/>
          <w:lang w:eastAsia="de-DE"/>
        </w:rPr>
        <w:t>tungspflicht</w:t>
      </w:r>
    </w:p>
    <w:p w:rsidR="00C23CDE" w:rsidRPr="00AF1E3F" w:rsidRDefault="00C23CDE" w:rsidP="009B761A">
      <w:pPr>
        <w:spacing w:after="0" w:line="240" w:lineRule="auto"/>
        <w:outlineLvl w:val="3"/>
        <w:rPr>
          <w:rFonts w:ascii="ambleregular" w:eastAsia="Times New Roman" w:hAnsi="ambleregular" w:cs="Times New Roman"/>
          <w:b/>
          <w:bCs/>
          <w:lang w:eastAsia="de-DE"/>
        </w:rPr>
      </w:pPr>
      <w:r w:rsidRPr="00AF1E3F">
        <w:rPr>
          <w:rFonts w:ascii="ambleregular" w:eastAsia="Times New Roman" w:hAnsi="ambleregular" w:cs="Times New Roman"/>
          <w:b/>
          <w:bCs/>
          <w:lang w:eastAsia="de-DE"/>
        </w:rPr>
        <w:t>Leitsatz</w:t>
      </w:r>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1. Der Geheimhaltungspflicht des </w:t>
      </w:r>
      <w:hyperlink r:id="rId9" w:history="1">
        <w:r w:rsidRPr="00AF1E3F">
          <w:rPr>
            <w:rFonts w:ascii="ambleregular" w:eastAsia="Times New Roman" w:hAnsi="ambleregular" w:cs="Times New Roman"/>
            <w:lang w:eastAsia="de-DE"/>
          </w:rPr>
          <w:t>§ 79 BetrVG</w:t>
        </w:r>
      </w:hyperlink>
      <w:r w:rsidRPr="00AF1E3F">
        <w:rPr>
          <w:rFonts w:ascii="ambleregular" w:eastAsia="Times New Roman" w:hAnsi="ambleregular" w:cs="Times New Roman"/>
          <w:lang w:eastAsia="de-DE"/>
        </w:rPr>
        <w:t> unterliegen nur Betriebs- und Geschäftsgeheimni</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se.</w:t>
      </w:r>
      <w:bookmarkStart w:id="1" w:name="_retrdlink_19"/>
      <w:r w:rsidRPr="00AF1E3F">
        <w:rPr>
          <w:rFonts w:ascii="ambleregular" w:eastAsia="Times New Roman" w:hAnsi="ambleregular" w:cs="Times New Roman"/>
          <w:lang w:eastAsia="de-DE"/>
        </w:rPr>
        <w:fldChar w:fldCharType="begin"/>
      </w:r>
      <w:r w:rsidRPr="00AF1E3F">
        <w:rPr>
          <w:rFonts w:ascii="ambleregular" w:eastAsia="Times New Roman" w:hAnsi="ambleregular" w:cs="Times New Roman"/>
          <w:lang w:eastAsia="de-DE"/>
        </w:rPr>
        <w:instrText xml:space="preserve"> HYPERLINK "https://www.juris.de/r3/?docId=JURE170028397&amp;docFormat=xsl&amp;docPart=L" </w:instrText>
      </w:r>
      <w:r w:rsidRPr="00AF1E3F">
        <w:rPr>
          <w:rFonts w:ascii="ambleregular" w:eastAsia="Times New Roman" w:hAnsi="ambleregular" w:cs="Times New Roman"/>
          <w:lang w:eastAsia="de-DE"/>
        </w:rPr>
        <w:fldChar w:fldCharType="separate"/>
      </w:r>
      <w:r w:rsidRPr="00AF1E3F">
        <w:rPr>
          <w:rFonts w:ascii="ambleregular" w:eastAsia="Times New Roman" w:hAnsi="ambleregular" w:cs="Times New Roman"/>
          <w:lang w:eastAsia="de-DE"/>
        </w:rPr>
        <w:t>(Rn.19)</w:t>
      </w:r>
      <w:r w:rsidRPr="00AF1E3F">
        <w:rPr>
          <w:rFonts w:ascii="ambleregular" w:eastAsia="Times New Roman" w:hAnsi="ambleregular" w:cs="Times New Roman"/>
          <w:lang w:eastAsia="de-DE"/>
        </w:rPr>
        <w:fldChar w:fldCharType="end"/>
      </w:r>
      <w:bookmarkEnd w:id="1"/>
      <w:r w:rsidRPr="00AF1E3F">
        <w:rPr>
          <w:rFonts w:ascii="ambleregular" w:eastAsia="Times New Roman" w:hAnsi="ambleregular" w:cs="Times New Roman"/>
          <w:lang w:eastAsia="de-DE"/>
        </w:rPr>
        <w:t> Ein dem Betriebsrat mitgeteilter geplanter interessenausgleichspflichtiger Personalabbau stellt kein Betriebs- oder Geschäftsgeheimnis im Sinne von </w:t>
      </w:r>
      <w:hyperlink r:id="rId10" w:history="1">
        <w:r w:rsidRPr="00AF1E3F">
          <w:rPr>
            <w:rFonts w:ascii="ambleregular" w:eastAsia="Times New Roman" w:hAnsi="ambleregular" w:cs="Times New Roman"/>
            <w:lang w:eastAsia="de-DE"/>
          </w:rPr>
          <w:t>§ 79 BetrVG</w:t>
        </w:r>
      </w:hyperlink>
      <w:r w:rsidRPr="00AF1E3F">
        <w:rPr>
          <w:rFonts w:ascii="ambleregular" w:eastAsia="Times New Roman" w:hAnsi="ambleregular" w:cs="Times New Roman"/>
          <w:lang w:eastAsia="de-DE"/>
        </w:rPr>
        <w:t> dar.</w:t>
      </w:r>
      <w:bookmarkStart w:id="2" w:name="_retrdlink_20"/>
      <w:r w:rsidRPr="00AF1E3F">
        <w:rPr>
          <w:rFonts w:ascii="ambleregular" w:eastAsia="Times New Roman" w:hAnsi="ambleregular" w:cs="Times New Roman"/>
          <w:lang w:eastAsia="de-DE"/>
        </w:rPr>
        <w:fldChar w:fldCharType="begin"/>
      </w:r>
      <w:r w:rsidRPr="00AF1E3F">
        <w:rPr>
          <w:rFonts w:ascii="ambleregular" w:eastAsia="Times New Roman" w:hAnsi="ambleregular" w:cs="Times New Roman"/>
          <w:lang w:eastAsia="de-DE"/>
        </w:rPr>
        <w:instrText xml:space="preserve"> HYPERLINK "https://www.juris.de/r3/?docId=JURE170028397&amp;docFormat=xsl&amp;docPart=L" </w:instrText>
      </w:r>
      <w:r w:rsidRPr="00AF1E3F">
        <w:rPr>
          <w:rFonts w:ascii="ambleregular" w:eastAsia="Times New Roman" w:hAnsi="ambleregular" w:cs="Times New Roman"/>
          <w:lang w:eastAsia="de-DE"/>
        </w:rPr>
        <w:fldChar w:fldCharType="separate"/>
      </w:r>
      <w:r w:rsidRPr="00AF1E3F">
        <w:rPr>
          <w:rFonts w:ascii="ambleregular" w:eastAsia="Times New Roman" w:hAnsi="ambleregular" w:cs="Times New Roman"/>
          <w:lang w:eastAsia="de-DE"/>
        </w:rPr>
        <w:t>(Rn.20)</w:t>
      </w:r>
      <w:r w:rsidRPr="00AF1E3F">
        <w:rPr>
          <w:rFonts w:ascii="ambleregular" w:eastAsia="Times New Roman" w:hAnsi="ambleregular" w:cs="Times New Roman"/>
          <w:lang w:eastAsia="de-DE"/>
        </w:rPr>
        <w:fldChar w:fldCharType="end"/>
      </w:r>
      <w:bookmarkEnd w:id="2"/>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2. Jedes Betriebsratsmitglied ist berechtigt, sich auf eine bevorstehende Betriebsratssitzung angeme</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sen vorzubereiten, wozu auch die Einholung von Rechtsrat der Gewerkschaft gehören kann. Es ist insoweit nicht gehalten, das in </w:t>
      </w:r>
      <w:hyperlink r:id="rId11" w:history="1">
        <w:r w:rsidRPr="00AF1E3F">
          <w:rPr>
            <w:rFonts w:ascii="ambleregular" w:eastAsia="Times New Roman" w:hAnsi="ambleregular" w:cs="Times New Roman"/>
            <w:lang w:eastAsia="de-DE"/>
          </w:rPr>
          <w:t>§ 31 BetrVG</w:t>
        </w:r>
      </w:hyperlink>
      <w:r w:rsidRPr="00AF1E3F">
        <w:rPr>
          <w:rFonts w:ascii="ambleregular" w:eastAsia="Times New Roman" w:hAnsi="ambleregular" w:cs="Times New Roman"/>
          <w:lang w:eastAsia="de-DE"/>
        </w:rPr>
        <w:t> vorgesehene Verfahren auf Teilnahme eines Gewer</w:t>
      </w:r>
      <w:r w:rsidRPr="00AF1E3F">
        <w:rPr>
          <w:rFonts w:ascii="ambleregular" w:eastAsia="Times New Roman" w:hAnsi="ambleregular" w:cs="Times New Roman"/>
          <w:lang w:eastAsia="de-DE"/>
        </w:rPr>
        <w:t>k</w:t>
      </w:r>
      <w:r w:rsidRPr="00AF1E3F">
        <w:rPr>
          <w:rFonts w:ascii="ambleregular" w:eastAsia="Times New Roman" w:hAnsi="ambleregular" w:cs="Times New Roman"/>
          <w:lang w:eastAsia="de-DE"/>
        </w:rPr>
        <w:t>schaftsvertreters an den Betriebsratssitzungen einzuhalten.</w:t>
      </w:r>
      <w:bookmarkStart w:id="3" w:name="_retrdlink_22"/>
      <w:r w:rsidRPr="00AF1E3F">
        <w:rPr>
          <w:rFonts w:ascii="ambleregular" w:eastAsia="Times New Roman" w:hAnsi="ambleregular" w:cs="Times New Roman"/>
          <w:lang w:eastAsia="de-DE"/>
        </w:rPr>
        <w:fldChar w:fldCharType="begin"/>
      </w:r>
      <w:r w:rsidRPr="00AF1E3F">
        <w:rPr>
          <w:rFonts w:ascii="ambleregular" w:eastAsia="Times New Roman" w:hAnsi="ambleregular" w:cs="Times New Roman"/>
          <w:lang w:eastAsia="de-DE"/>
        </w:rPr>
        <w:instrText xml:space="preserve"> HYPERLINK "https://www.juris.de/r3/?docId=JURE170028397&amp;docFormat=xsl&amp;docPart=L" </w:instrText>
      </w:r>
      <w:r w:rsidRPr="00AF1E3F">
        <w:rPr>
          <w:rFonts w:ascii="ambleregular" w:eastAsia="Times New Roman" w:hAnsi="ambleregular" w:cs="Times New Roman"/>
          <w:lang w:eastAsia="de-DE"/>
        </w:rPr>
        <w:fldChar w:fldCharType="separate"/>
      </w:r>
      <w:r w:rsidRPr="00AF1E3F">
        <w:rPr>
          <w:rFonts w:ascii="ambleregular" w:eastAsia="Times New Roman" w:hAnsi="ambleregular" w:cs="Times New Roman"/>
          <w:lang w:eastAsia="de-DE"/>
        </w:rPr>
        <w:t>(Rn.22)</w:t>
      </w:r>
      <w:r w:rsidRPr="00AF1E3F">
        <w:rPr>
          <w:rFonts w:ascii="ambleregular" w:eastAsia="Times New Roman" w:hAnsi="ambleregular" w:cs="Times New Roman"/>
          <w:lang w:eastAsia="de-DE"/>
        </w:rPr>
        <w:fldChar w:fldCharType="end"/>
      </w:r>
      <w:bookmarkEnd w:id="3"/>
    </w:p>
    <w:p w:rsidR="00C23CDE" w:rsidRPr="00AF1E3F" w:rsidRDefault="00C23CDE" w:rsidP="009B761A">
      <w:pPr>
        <w:spacing w:after="0" w:line="240" w:lineRule="auto"/>
        <w:outlineLvl w:val="3"/>
        <w:rPr>
          <w:rFonts w:ascii="ambleregular" w:eastAsia="Times New Roman" w:hAnsi="ambleregular" w:cs="Times New Roman"/>
          <w:b/>
          <w:bCs/>
          <w:lang w:eastAsia="de-DE"/>
        </w:rPr>
      </w:pPr>
      <w:r w:rsidRPr="00AF1E3F">
        <w:rPr>
          <w:rFonts w:ascii="ambleregular" w:eastAsia="Times New Roman" w:hAnsi="ambleregular" w:cs="Times New Roman"/>
          <w:b/>
          <w:bCs/>
          <w:lang w:eastAsia="de-DE"/>
        </w:rPr>
        <w:t>Orientierungssatz</w:t>
      </w:r>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(Nichtzulassungsbeschwerde eingelegt unter dem Aktenzeichen 7 ABN 42/17)</w:t>
      </w:r>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(Nichtzulassungsbeschwerde eingelegt unter dem Aktenzeichen 7 ABN 49/17)</w:t>
      </w:r>
    </w:p>
    <w:p w:rsidR="00C23CDE" w:rsidRPr="00AF1E3F" w:rsidRDefault="00C23CDE" w:rsidP="009B761A">
      <w:pPr>
        <w:spacing w:after="0" w:line="240" w:lineRule="auto"/>
        <w:outlineLvl w:val="2"/>
        <w:rPr>
          <w:rFonts w:ascii="ambleregular" w:eastAsia="Times New Roman" w:hAnsi="ambleregular" w:cs="Times New Roman"/>
          <w:b/>
          <w:bCs/>
          <w:lang w:eastAsia="de-DE"/>
        </w:rPr>
      </w:pPr>
      <w:r w:rsidRPr="00AF1E3F">
        <w:rPr>
          <w:rFonts w:ascii="ambleregular" w:eastAsia="Times New Roman" w:hAnsi="ambleregular" w:cs="Times New Roman"/>
          <w:b/>
          <w:bCs/>
          <w:lang w:eastAsia="de-DE"/>
        </w:rPr>
        <w:t>Verfahrensgang</w:t>
      </w:r>
    </w:p>
    <w:p w:rsidR="00C23CDE" w:rsidRPr="00AF1E3F" w:rsidRDefault="00C23CDE" w:rsidP="009B761A">
      <w:pPr>
        <w:spacing w:after="0" w:line="240" w:lineRule="auto"/>
        <w:rPr>
          <w:rFonts w:ascii="ambleregular" w:eastAsia="Times New Roman" w:hAnsi="ambleregular" w:cs="Times New Roman"/>
          <w:lang w:eastAsia="de-DE"/>
        </w:rPr>
      </w:pPr>
      <w:r w:rsidRPr="00AF1E3F">
        <w:rPr>
          <w:rFonts w:ascii="ambleregular" w:eastAsia="Times New Roman" w:hAnsi="ambleregular" w:cs="Times New Roman"/>
          <w:lang w:eastAsia="de-DE"/>
        </w:rPr>
        <w:t>vorgehend ArbG Offenbach, 14. September 2016, 8 BV 14/16, Beschluss</w:t>
      </w:r>
      <w:r w:rsidRPr="00AF1E3F">
        <w:rPr>
          <w:rFonts w:ascii="ambleregular" w:eastAsia="Times New Roman" w:hAnsi="ambleregular" w:cs="Times New Roman"/>
          <w:lang w:eastAsia="de-DE"/>
        </w:rPr>
        <w:br/>
        <w:t>nachgehend BAG, 30. August 2017, 7 ABN 42/17, Beschluss: Zurückweisung (nicht dokumentiert)</w:t>
      </w:r>
      <w:r w:rsidRPr="00AF1E3F">
        <w:rPr>
          <w:rFonts w:ascii="ambleregular" w:eastAsia="Times New Roman" w:hAnsi="ambleregular" w:cs="Times New Roman"/>
          <w:lang w:eastAsia="de-DE"/>
        </w:rPr>
        <w:br/>
        <w:t>nachgehend BAG, 30. August 2017, 7 ABN 49/17, Beschluss: Zurückweisung (nicht dokumentiert)</w:t>
      </w:r>
    </w:p>
    <w:p w:rsidR="00C23CDE" w:rsidRPr="00AF1E3F" w:rsidRDefault="00C23CDE" w:rsidP="009B761A">
      <w:pPr>
        <w:spacing w:after="0" w:line="240" w:lineRule="auto"/>
        <w:outlineLvl w:val="2"/>
        <w:rPr>
          <w:rFonts w:ascii="ambleregular" w:eastAsia="Times New Roman" w:hAnsi="ambleregular" w:cs="Times New Roman"/>
          <w:b/>
          <w:bCs/>
          <w:lang w:eastAsia="de-DE"/>
        </w:rPr>
      </w:pPr>
      <w:r w:rsidRPr="00AF1E3F">
        <w:rPr>
          <w:rFonts w:ascii="ambleregular" w:eastAsia="Times New Roman" w:hAnsi="ambleregular" w:cs="Times New Roman"/>
          <w:b/>
          <w:bCs/>
          <w:lang w:eastAsia="de-DE"/>
        </w:rPr>
        <w:t>Diese Entscheidung wird zitiert</w:t>
      </w:r>
    </w:p>
    <w:p w:rsidR="00C23CDE" w:rsidRPr="00AF1E3F" w:rsidRDefault="00C23CDE" w:rsidP="009B761A">
      <w:pPr>
        <w:spacing w:after="0" w:line="240" w:lineRule="auto"/>
        <w:rPr>
          <w:rFonts w:ascii="ambleregular" w:eastAsia="Times New Roman" w:hAnsi="ambleregular" w:cs="Times New Roman"/>
          <w:lang w:eastAsia="de-DE"/>
        </w:rPr>
      </w:pPr>
      <w:bookmarkStart w:id="4" w:name="uli"/>
      <w:bookmarkEnd w:id="4"/>
      <w:r w:rsidRPr="00AF1E3F">
        <w:rPr>
          <w:rFonts w:ascii="ambleregular" w:eastAsia="Times New Roman" w:hAnsi="ambleregular" w:cs="Times New Roman"/>
          <w:b/>
          <w:bCs/>
          <w:lang w:eastAsia="de-DE"/>
        </w:rPr>
        <w:t>Literaturnachweise</w:t>
      </w:r>
    </w:p>
    <w:p w:rsidR="00C23CDE" w:rsidRPr="00AF1E3F" w:rsidRDefault="00C23CDE" w:rsidP="009B761A">
      <w:pPr>
        <w:spacing w:after="0" w:line="240" w:lineRule="auto"/>
        <w:rPr>
          <w:rFonts w:ascii="ambleregular" w:eastAsia="Times New Roman" w:hAnsi="ambleregular" w:cs="Times New Roman"/>
          <w:lang w:eastAsia="de-DE"/>
        </w:rPr>
      </w:pPr>
      <w:r w:rsidRPr="00AF1E3F">
        <w:rPr>
          <w:rFonts w:ascii="ambleregular" w:eastAsia="Times New Roman" w:hAnsi="ambleregular" w:cs="Times New Roman"/>
          <w:lang w:eastAsia="de-DE"/>
        </w:rPr>
        <w:t>Rudolf Buschmann, ArbuR 2017, 414-415 (Anmerkung)</w:t>
      </w:r>
      <w:r w:rsidRPr="00AF1E3F">
        <w:rPr>
          <w:rFonts w:ascii="ambleregular" w:eastAsia="Times New Roman" w:hAnsi="ambleregular" w:cs="Times New Roman"/>
          <w:lang w:eastAsia="de-DE"/>
        </w:rPr>
        <w:br/>
        <w:t xml:space="preserve">Reinold Mittag, </w:t>
      </w:r>
      <w:proofErr w:type="spellStart"/>
      <w:r w:rsidRPr="00AF1E3F">
        <w:rPr>
          <w:rFonts w:ascii="ambleregular" w:eastAsia="Times New Roman" w:hAnsi="ambleregular" w:cs="Times New Roman"/>
          <w:lang w:eastAsia="de-DE"/>
        </w:rPr>
        <w:t>jurisPR-ArbR</w:t>
      </w:r>
      <w:proofErr w:type="spellEnd"/>
      <w:r w:rsidRPr="00AF1E3F">
        <w:rPr>
          <w:rFonts w:ascii="ambleregular" w:eastAsia="Times New Roman" w:hAnsi="ambleregular" w:cs="Times New Roman"/>
          <w:lang w:eastAsia="de-DE"/>
        </w:rPr>
        <w:t xml:space="preserve"> 29/2017 </w:t>
      </w:r>
      <w:proofErr w:type="spellStart"/>
      <w:r w:rsidRPr="00AF1E3F">
        <w:rPr>
          <w:rFonts w:ascii="ambleregular" w:eastAsia="Times New Roman" w:hAnsi="ambleregular" w:cs="Times New Roman"/>
          <w:lang w:eastAsia="de-DE"/>
        </w:rPr>
        <w:t>Anm</w:t>
      </w:r>
      <w:proofErr w:type="spellEnd"/>
      <w:r w:rsidRPr="00AF1E3F">
        <w:rPr>
          <w:rFonts w:ascii="ambleregular" w:eastAsia="Times New Roman" w:hAnsi="ambleregular" w:cs="Times New Roman"/>
          <w:lang w:eastAsia="de-DE"/>
        </w:rPr>
        <w:t xml:space="preserve"> 3 (Anmerkung)</w:t>
      </w:r>
    </w:p>
    <w:p w:rsidR="00C23CDE" w:rsidRPr="00AF1E3F" w:rsidRDefault="00C23CDE" w:rsidP="009B761A">
      <w:pPr>
        <w:spacing w:after="0" w:line="240" w:lineRule="auto"/>
        <w:rPr>
          <w:rFonts w:ascii="ambleregular" w:eastAsia="Times New Roman" w:hAnsi="ambleregular" w:cs="Times New Roman"/>
          <w:lang w:eastAsia="de-DE"/>
        </w:rPr>
      </w:pPr>
    </w:p>
    <w:p w:rsidR="00C23CDE" w:rsidRPr="00AF1E3F" w:rsidRDefault="00C23CDE" w:rsidP="009B761A">
      <w:pPr>
        <w:spacing w:after="0" w:line="240" w:lineRule="auto"/>
        <w:outlineLvl w:val="3"/>
        <w:rPr>
          <w:rFonts w:ascii="ambleregular" w:eastAsia="Times New Roman" w:hAnsi="ambleregular" w:cs="Times New Roman"/>
          <w:b/>
          <w:bCs/>
          <w:lang w:eastAsia="de-DE"/>
        </w:rPr>
      </w:pPr>
      <w:r w:rsidRPr="00AF1E3F">
        <w:rPr>
          <w:rFonts w:ascii="ambleregular" w:eastAsia="Times New Roman" w:hAnsi="ambleregular" w:cs="Times New Roman"/>
          <w:b/>
          <w:bCs/>
          <w:lang w:eastAsia="de-DE"/>
        </w:rPr>
        <w:t>Tenor</w:t>
      </w:r>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Auf die Beschwerde des Beteiligten zu 2 wird der Beschluss des Arbeitsgerichts Offenbach am Main vom 14. September 2016 - 8 BV 14/16 - abgeändert:</w:t>
      </w:r>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Der Antrag der Beteiligten zu 1 und 3 wird zurückgewiesen.</w:t>
      </w:r>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Die Rechtsbeschwerde wird nicht zugelassen.</w:t>
      </w:r>
    </w:p>
    <w:p w:rsidR="00C23CDE" w:rsidRPr="00AF1E3F" w:rsidRDefault="00C23CDE" w:rsidP="009B761A">
      <w:pPr>
        <w:spacing w:after="0" w:line="240" w:lineRule="auto"/>
        <w:outlineLvl w:val="3"/>
        <w:rPr>
          <w:rFonts w:ascii="ambleregular" w:eastAsia="Times New Roman" w:hAnsi="ambleregular" w:cs="Times New Roman"/>
          <w:b/>
          <w:bCs/>
          <w:lang w:eastAsia="de-DE"/>
        </w:rPr>
      </w:pPr>
      <w:r w:rsidRPr="00AF1E3F">
        <w:rPr>
          <w:rFonts w:ascii="ambleregular" w:eastAsia="Times New Roman" w:hAnsi="ambleregular" w:cs="Times New Roman"/>
          <w:b/>
          <w:bCs/>
          <w:lang w:eastAsia="de-DE"/>
        </w:rPr>
        <w:t>Gründe</w:t>
      </w:r>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I.</w:t>
      </w:r>
    </w:p>
    <w:p w:rsidR="00C23CDE" w:rsidRPr="00AF1E3F" w:rsidRDefault="00C23CDE" w:rsidP="009B761A">
      <w:pPr>
        <w:spacing w:after="0" w:line="240" w:lineRule="auto"/>
        <w:rPr>
          <w:rFonts w:ascii="ambleregular" w:eastAsia="Times New Roman" w:hAnsi="ambleregular" w:cs="Times New Roman"/>
          <w:lang w:eastAsia="de-DE"/>
        </w:rPr>
      </w:pPr>
      <w:bookmarkStart w:id="5" w:name="rd_1"/>
      <w:r w:rsidRPr="00AF1E3F">
        <w:rPr>
          <w:rFonts w:ascii="ambleregular" w:eastAsia="Times New Roman" w:hAnsi="ambleregular" w:cs="Times New Roman"/>
          <w:b/>
          <w:bCs/>
          <w:lang w:eastAsia="de-DE"/>
        </w:rPr>
        <w:t>1</w:t>
      </w:r>
      <w:bookmarkEnd w:id="5"/>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Die Beteiligten streiten über den Ausschluss eines Betriebsratsmitglieds aus dem Betriebsrat.</w:t>
      </w:r>
    </w:p>
    <w:p w:rsidR="00C23CDE" w:rsidRPr="00AF1E3F" w:rsidRDefault="00C23CDE" w:rsidP="009B761A">
      <w:pPr>
        <w:spacing w:after="0" w:line="240" w:lineRule="auto"/>
        <w:rPr>
          <w:rFonts w:ascii="ambleregular" w:eastAsia="Times New Roman" w:hAnsi="ambleregular" w:cs="Times New Roman"/>
          <w:lang w:eastAsia="de-DE"/>
        </w:rPr>
      </w:pPr>
      <w:bookmarkStart w:id="6" w:name="rd_2"/>
      <w:r w:rsidRPr="00AF1E3F">
        <w:rPr>
          <w:rFonts w:ascii="ambleregular" w:eastAsia="Times New Roman" w:hAnsi="ambleregular" w:cs="Times New Roman"/>
          <w:b/>
          <w:bCs/>
          <w:lang w:eastAsia="de-DE"/>
        </w:rPr>
        <w:t>2</w:t>
      </w:r>
      <w:bookmarkEnd w:id="6"/>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lastRenderedPageBreak/>
        <w:t>Im Betrieb des Arbeitgebers (Beteiligter zu 3.) ist ein aus 5 Mitgliedern bestehender Betriebsrat (A</w:t>
      </w:r>
      <w:r w:rsidRPr="00AF1E3F">
        <w:rPr>
          <w:rFonts w:ascii="ambleregular" w:eastAsia="Times New Roman" w:hAnsi="ambleregular" w:cs="Times New Roman"/>
          <w:lang w:eastAsia="de-DE"/>
        </w:rPr>
        <w:t>n</w:t>
      </w:r>
      <w:r w:rsidRPr="00AF1E3F">
        <w:rPr>
          <w:rFonts w:ascii="ambleregular" w:eastAsia="Times New Roman" w:hAnsi="ambleregular" w:cs="Times New Roman"/>
          <w:lang w:eastAsia="de-DE"/>
        </w:rPr>
        <w:t>tragsteller) gebildet, dem der Beteiligte zu 2 als Mitglied angehört. Dieser ist das einzige gewer</w:t>
      </w:r>
      <w:r w:rsidRPr="00AF1E3F">
        <w:rPr>
          <w:rFonts w:ascii="ambleregular" w:eastAsia="Times New Roman" w:hAnsi="ambleregular" w:cs="Times New Roman"/>
          <w:lang w:eastAsia="de-DE"/>
        </w:rPr>
        <w:t>k</w:t>
      </w:r>
      <w:r w:rsidRPr="00AF1E3F">
        <w:rPr>
          <w:rFonts w:ascii="ambleregular" w:eastAsia="Times New Roman" w:hAnsi="ambleregular" w:cs="Times New Roman"/>
          <w:lang w:eastAsia="de-DE"/>
        </w:rPr>
        <w:t>schaftlich organisierte Betriebsratsmitglied in diesem Betrieb.</w:t>
      </w:r>
    </w:p>
    <w:p w:rsidR="00C23CDE" w:rsidRPr="00AF1E3F" w:rsidRDefault="00C23CDE" w:rsidP="009B761A">
      <w:pPr>
        <w:spacing w:after="0" w:line="240" w:lineRule="auto"/>
        <w:rPr>
          <w:rFonts w:ascii="ambleregular" w:eastAsia="Times New Roman" w:hAnsi="ambleregular" w:cs="Times New Roman"/>
          <w:lang w:eastAsia="de-DE"/>
        </w:rPr>
      </w:pPr>
      <w:bookmarkStart w:id="7" w:name="rd_3"/>
      <w:r w:rsidRPr="00AF1E3F">
        <w:rPr>
          <w:rFonts w:ascii="ambleregular" w:eastAsia="Times New Roman" w:hAnsi="ambleregular" w:cs="Times New Roman"/>
          <w:b/>
          <w:bCs/>
          <w:lang w:eastAsia="de-DE"/>
        </w:rPr>
        <w:t>3</w:t>
      </w:r>
      <w:bookmarkEnd w:id="7"/>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Am 23. März 2016 unterrichtete die Geschäftsleitung den Betriebsratsvorsitzenden im Beisein des Betriebsratsmitglieds A darüber, dass sie die Produktion der Polyolefin-Linie einstellen und die Abte</w:t>
      </w:r>
      <w:r w:rsidRPr="00AF1E3F">
        <w:rPr>
          <w:rFonts w:ascii="ambleregular" w:eastAsia="Times New Roman" w:hAnsi="ambleregular" w:cs="Times New Roman"/>
          <w:lang w:eastAsia="de-DE"/>
        </w:rPr>
        <w:t>i</w:t>
      </w:r>
      <w:r w:rsidRPr="00AF1E3F">
        <w:rPr>
          <w:rFonts w:ascii="ambleregular" w:eastAsia="Times New Roman" w:hAnsi="ambleregular" w:cs="Times New Roman"/>
          <w:lang w:eastAsia="de-DE"/>
        </w:rPr>
        <w:t>lungen POE, POK und POR schließen wolle. Das Betriebsratsmitglied A fuhr deshalb am 5. April 2016 zu dem im Außenlager des Betriebs beschäftigten Beteiligten zu 2, um ihn hierüber zu informi</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ren und zu einer Betriebsratssitzung am 8. April 2016 einzuladen. Er bat ihn, die Angelegenheit auf Wunsch des Arbeitgebers absolut vertraulich zu behandeln, um Unruhe und Sachbeschädigungen, wie sie in der Vergangenheit erfolgten, zu vermeiden. Daran hielt sich der Beteiligte zu 2 nicht, sondern informierte die Gewerkschaft.</w:t>
      </w:r>
    </w:p>
    <w:p w:rsidR="00C23CDE" w:rsidRPr="00AF1E3F" w:rsidRDefault="00C23CDE" w:rsidP="009B761A">
      <w:pPr>
        <w:spacing w:after="0" w:line="240" w:lineRule="auto"/>
        <w:rPr>
          <w:rFonts w:ascii="ambleregular" w:eastAsia="Times New Roman" w:hAnsi="ambleregular" w:cs="Times New Roman"/>
          <w:lang w:eastAsia="de-DE"/>
        </w:rPr>
      </w:pPr>
      <w:bookmarkStart w:id="8" w:name="rd_4"/>
      <w:r w:rsidRPr="00AF1E3F">
        <w:rPr>
          <w:rFonts w:ascii="ambleregular" w:eastAsia="Times New Roman" w:hAnsi="ambleregular" w:cs="Times New Roman"/>
          <w:b/>
          <w:bCs/>
          <w:lang w:eastAsia="de-DE"/>
        </w:rPr>
        <w:t>4</w:t>
      </w:r>
      <w:bookmarkEnd w:id="8"/>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Wegen dieses Verhaltens begehren Betriebsrat und Arbeitgeber den Ausschluss des Beteiligten zu 2 aus dem Betriebsrat.</w:t>
      </w:r>
    </w:p>
    <w:p w:rsidR="00C23CDE" w:rsidRPr="00AF1E3F" w:rsidRDefault="00C23CDE" w:rsidP="009B761A">
      <w:pPr>
        <w:spacing w:after="0" w:line="240" w:lineRule="auto"/>
        <w:rPr>
          <w:rFonts w:ascii="ambleregular" w:eastAsia="Times New Roman" w:hAnsi="ambleregular" w:cs="Times New Roman"/>
          <w:lang w:eastAsia="de-DE"/>
        </w:rPr>
      </w:pPr>
      <w:bookmarkStart w:id="9" w:name="rd_5"/>
      <w:r w:rsidRPr="00AF1E3F">
        <w:rPr>
          <w:rFonts w:ascii="ambleregular" w:eastAsia="Times New Roman" w:hAnsi="ambleregular" w:cs="Times New Roman"/>
          <w:b/>
          <w:bCs/>
          <w:lang w:eastAsia="de-DE"/>
        </w:rPr>
        <w:t>5</w:t>
      </w:r>
      <w:bookmarkEnd w:id="9"/>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Hinsichtlich der des erstinstanzlichen Vorbringens der Beteiligten und der gestellten Anträge wird auf die Ausführungen des Arbeitsgerichts im Beschluss unter I. der Gründe (</w:t>
      </w:r>
      <w:proofErr w:type="spellStart"/>
      <w:r w:rsidRPr="00AF1E3F">
        <w:rPr>
          <w:rFonts w:ascii="ambleregular" w:eastAsia="Times New Roman" w:hAnsi="ambleregular" w:cs="Times New Roman"/>
          <w:lang w:eastAsia="de-DE"/>
        </w:rPr>
        <w:t>Bl</w:t>
      </w:r>
      <w:proofErr w:type="spellEnd"/>
      <w:r w:rsidRPr="00AF1E3F">
        <w:rPr>
          <w:rFonts w:ascii="ambleregular" w:eastAsia="Times New Roman" w:hAnsi="ambleregular" w:cs="Times New Roman"/>
          <w:lang w:eastAsia="de-DE"/>
        </w:rPr>
        <w:t>. 58-59 der Akten) Bezug genommen.</w:t>
      </w:r>
    </w:p>
    <w:p w:rsidR="00C23CDE" w:rsidRPr="00AF1E3F" w:rsidRDefault="00C23CDE" w:rsidP="009B761A">
      <w:pPr>
        <w:spacing w:after="0" w:line="240" w:lineRule="auto"/>
        <w:rPr>
          <w:rFonts w:ascii="ambleregular" w:eastAsia="Times New Roman" w:hAnsi="ambleregular" w:cs="Times New Roman"/>
          <w:lang w:eastAsia="de-DE"/>
        </w:rPr>
      </w:pPr>
      <w:bookmarkStart w:id="10" w:name="rd_6"/>
      <w:r w:rsidRPr="00AF1E3F">
        <w:rPr>
          <w:rFonts w:ascii="ambleregular" w:eastAsia="Times New Roman" w:hAnsi="ambleregular" w:cs="Times New Roman"/>
          <w:b/>
          <w:bCs/>
          <w:lang w:eastAsia="de-DE"/>
        </w:rPr>
        <w:t>6</w:t>
      </w:r>
      <w:bookmarkEnd w:id="10"/>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Das Arbeitsgericht hat dem Antrag stattgegeben. Der Beteiligte zu 2 habe das Gebot der Vertraulic</w:t>
      </w:r>
      <w:r w:rsidRPr="00AF1E3F">
        <w:rPr>
          <w:rFonts w:ascii="ambleregular" w:eastAsia="Times New Roman" w:hAnsi="ambleregular" w:cs="Times New Roman"/>
          <w:lang w:eastAsia="de-DE"/>
        </w:rPr>
        <w:t>h</w:t>
      </w:r>
      <w:r w:rsidRPr="00AF1E3F">
        <w:rPr>
          <w:rFonts w:ascii="ambleregular" w:eastAsia="Times New Roman" w:hAnsi="ambleregular" w:cs="Times New Roman"/>
          <w:lang w:eastAsia="de-DE"/>
        </w:rPr>
        <w:t>keit innerhalb des Betriebsrats in grober Weise und vorsätzlich verletzt. Er habe wenigstens die bevo</w:t>
      </w:r>
      <w:r w:rsidRPr="00AF1E3F">
        <w:rPr>
          <w:rFonts w:ascii="ambleregular" w:eastAsia="Times New Roman" w:hAnsi="ambleregular" w:cs="Times New Roman"/>
          <w:lang w:eastAsia="de-DE"/>
        </w:rPr>
        <w:t>r</w:t>
      </w:r>
      <w:r w:rsidRPr="00AF1E3F">
        <w:rPr>
          <w:rFonts w:ascii="ambleregular" w:eastAsia="Times New Roman" w:hAnsi="ambleregular" w:cs="Times New Roman"/>
          <w:lang w:eastAsia="de-DE"/>
        </w:rPr>
        <w:t>stehende Betriebsratssitzung zu diesem Thema abwarten müssen, bevor er Informationen an Dritte weitergab.</w:t>
      </w:r>
    </w:p>
    <w:p w:rsidR="00C23CDE" w:rsidRPr="00AF1E3F" w:rsidRDefault="00C23CDE" w:rsidP="009B761A">
      <w:pPr>
        <w:spacing w:after="0" w:line="240" w:lineRule="auto"/>
        <w:rPr>
          <w:rFonts w:ascii="ambleregular" w:eastAsia="Times New Roman" w:hAnsi="ambleregular" w:cs="Times New Roman"/>
          <w:lang w:eastAsia="de-DE"/>
        </w:rPr>
      </w:pPr>
      <w:bookmarkStart w:id="11" w:name="rd_7"/>
      <w:r w:rsidRPr="00AF1E3F">
        <w:rPr>
          <w:rFonts w:ascii="ambleregular" w:eastAsia="Times New Roman" w:hAnsi="ambleregular" w:cs="Times New Roman"/>
          <w:b/>
          <w:bCs/>
          <w:lang w:eastAsia="de-DE"/>
        </w:rPr>
        <w:t>7</w:t>
      </w:r>
      <w:bookmarkEnd w:id="11"/>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Dieser Beschluss wurde dem Vertreter des Beteiligten zu 2 am 2. Januar 2017 zugestellt. Er hat dag</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gen am 17. Januar 2017 Beschwerde eingelegt und diese am 14. Februar 2017 begründet.</w:t>
      </w:r>
    </w:p>
    <w:p w:rsidR="00C23CDE" w:rsidRPr="00AF1E3F" w:rsidRDefault="00C23CDE" w:rsidP="009B761A">
      <w:pPr>
        <w:spacing w:after="0" w:line="240" w:lineRule="auto"/>
        <w:rPr>
          <w:rFonts w:ascii="ambleregular" w:eastAsia="Times New Roman" w:hAnsi="ambleregular" w:cs="Times New Roman"/>
          <w:lang w:eastAsia="de-DE"/>
        </w:rPr>
      </w:pPr>
      <w:bookmarkStart w:id="12" w:name="rd_8"/>
      <w:r w:rsidRPr="00AF1E3F">
        <w:rPr>
          <w:rFonts w:ascii="ambleregular" w:eastAsia="Times New Roman" w:hAnsi="ambleregular" w:cs="Times New Roman"/>
          <w:b/>
          <w:bCs/>
          <w:lang w:eastAsia="de-DE"/>
        </w:rPr>
        <w:t>8</w:t>
      </w:r>
      <w:bookmarkEnd w:id="12"/>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Der Beteiligte zu 2 rügt, das Arbeitsgericht habe verkannt, dass auch die Gewerkschaft nach </w:t>
      </w:r>
      <w:hyperlink r:id="rId12" w:history="1">
        <w:r w:rsidRPr="00AF1E3F">
          <w:rPr>
            <w:rFonts w:ascii="ambleregular" w:eastAsia="Times New Roman" w:hAnsi="ambleregular" w:cs="Times New Roman"/>
            <w:lang w:eastAsia="de-DE"/>
          </w:rPr>
          <w:t>§ 79 Abs. 2 BetrVG</w:t>
        </w:r>
      </w:hyperlink>
      <w:r w:rsidRPr="00AF1E3F">
        <w:rPr>
          <w:rFonts w:ascii="ambleregular" w:eastAsia="Times New Roman" w:hAnsi="ambleregular" w:cs="Times New Roman"/>
          <w:lang w:eastAsia="de-DE"/>
        </w:rPr>
        <w:t> einer Geheimhaltungspflicht unterliege. Das Anliegen, vor der außerordentlichen B</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triebsratssitzung vom 8. April 2016 absolutes Stillschweigen über die geplante Personalabbauma</w:t>
      </w:r>
      <w:r w:rsidRPr="00AF1E3F">
        <w:rPr>
          <w:rFonts w:ascii="ambleregular" w:eastAsia="Times New Roman" w:hAnsi="ambleregular" w:cs="Times New Roman"/>
          <w:lang w:eastAsia="de-DE"/>
        </w:rPr>
        <w:t>ß</w:t>
      </w:r>
      <w:r w:rsidRPr="00AF1E3F">
        <w:rPr>
          <w:rFonts w:ascii="ambleregular" w:eastAsia="Times New Roman" w:hAnsi="ambleregular" w:cs="Times New Roman"/>
          <w:lang w:eastAsia="de-DE"/>
        </w:rPr>
        <w:t>nahme zu wahren und dem Beteiligten zu 2 zu untersagen, die Gewerkschaft zu informieren, sei unb</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rechtigt gewesen. Auch das einzelne Betriebsratsmitglied habe das Recht, sich vor einer Betriebsrat</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sitzung über eine geplante Betriebsänderung individuell sachkundig über die Handlungsmöglichkeiten des Betriebsrats zu machen. Der Betriebsratsvorsitzende habe von der geplanten Maßnahme bereits seit 23. März 2016 gewusst und sich hierzu zunächst anwaltlich beraten lassen, bevor er kurzfristig in der 14. Kalenderwoche eine außerordentliche Betriebsratssitzung einberufen habe. Der Betriebsrat</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 xml:space="preserve">vorsitzende und sein Stellvertreter dürften einzelnen Mitgliedern des Betriebsrats nicht untersagen, sich vor einer anstehenden Betriebsratssitzung über Handlungsmöglichkeiten von der Gewerkschaft beraten zu lassen. Einen Betriebsratsbeschluss zur Wahrung von Stillschweigen habe es nicht gegeben. Der Beteiligte zu 2 habe als </w:t>
      </w:r>
      <w:proofErr w:type="gramStart"/>
      <w:r w:rsidRPr="00AF1E3F">
        <w:rPr>
          <w:rFonts w:ascii="ambleregular" w:eastAsia="Times New Roman" w:hAnsi="ambleregular" w:cs="Times New Roman"/>
          <w:lang w:eastAsia="de-DE"/>
        </w:rPr>
        <w:t>einziges Gewerkschaftsmitglied</w:t>
      </w:r>
      <w:proofErr w:type="gramEnd"/>
      <w:r w:rsidRPr="00AF1E3F">
        <w:rPr>
          <w:rFonts w:ascii="ambleregular" w:eastAsia="Times New Roman" w:hAnsi="ambleregular" w:cs="Times New Roman"/>
          <w:lang w:eastAsia="de-DE"/>
        </w:rPr>
        <w:t xml:space="preserve"> innerhalb des Betriebsrats befürchten müssen, dass in der Sitzung weitreichende Beschlüsse gefasst werden. Jedenfalls liege keine grobe Verletzung seitens des Beteiligten zu 2 vor. Tatsächlich habe er in einem zweiminütigen Telefonat mit dem Gewerkschaftssekretär, Herrn B, keine andere Antwort erhalten, als der Betriebsratsvorsitzende von seinem Anwalt.</w:t>
      </w:r>
    </w:p>
    <w:p w:rsidR="00C23CDE" w:rsidRPr="00AF1E3F" w:rsidRDefault="00C23CDE" w:rsidP="009B761A">
      <w:pPr>
        <w:spacing w:after="0" w:line="240" w:lineRule="auto"/>
        <w:rPr>
          <w:rFonts w:ascii="ambleregular" w:eastAsia="Times New Roman" w:hAnsi="ambleregular" w:cs="Times New Roman"/>
          <w:lang w:eastAsia="de-DE"/>
        </w:rPr>
      </w:pPr>
      <w:bookmarkStart w:id="13" w:name="rd_9"/>
      <w:r w:rsidRPr="00AF1E3F">
        <w:rPr>
          <w:rFonts w:ascii="ambleregular" w:eastAsia="Times New Roman" w:hAnsi="ambleregular" w:cs="Times New Roman"/>
          <w:b/>
          <w:bCs/>
          <w:lang w:eastAsia="de-DE"/>
        </w:rPr>
        <w:t>9</w:t>
      </w:r>
      <w:bookmarkEnd w:id="13"/>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Der Beteiligte zu 2 beantragt,</w:t>
      </w:r>
    </w:p>
    <w:p w:rsidR="00C23CDE" w:rsidRPr="00AF1E3F" w:rsidRDefault="00C23CDE" w:rsidP="009B761A">
      <w:pPr>
        <w:spacing w:after="0" w:line="240" w:lineRule="auto"/>
        <w:rPr>
          <w:rFonts w:ascii="ambleregular" w:eastAsia="Times New Roman" w:hAnsi="ambleregular" w:cs="Times New Roman"/>
          <w:lang w:eastAsia="de-DE"/>
        </w:rPr>
      </w:pPr>
      <w:bookmarkStart w:id="14" w:name="rd_10"/>
      <w:r w:rsidRPr="00AF1E3F">
        <w:rPr>
          <w:rFonts w:ascii="ambleregular" w:eastAsia="Times New Roman" w:hAnsi="ambleregular" w:cs="Times New Roman"/>
          <w:b/>
          <w:bCs/>
          <w:lang w:eastAsia="de-DE"/>
        </w:rPr>
        <w:t>10</w:t>
      </w:r>
      <w:bookmarkEnd w:id="14"/>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den Beschluss des Arbeitsgerichts Offenbach am Main vom 14. September 2016 - 8 BV 14/16 - abz</w:t>
      </w:r>
      <w:r w:rsidRPr="00AF1E3F">
        <w:rPr>
          <w:rFonts w:ascii="ambleregular" w:eastAsia="Times New Roman" w:hAnsi="ambleregular" w:cs="Times New Roman"/>
          <w:lang w:eastAsia="de-DE"/>
        </w:rPr>
        <w:t>u</w:t>
      </w:r>
      <w:r w:rsidRPr="00AF1E3F">
        <w:rPr>
          <w:rFonts w:ascii="ambleregular" w:eastAsia="Times New Roman" w:hAnsi="ambleregular" w:cs="Times New Roman"/>
          <w:lang w:eastAsia="de-DE"/>
        </w:rPr>
        <w:t>ändern und den Antrag der Beteiligten zu 1 und 3 zurückzuweisen.</w:t>
      </w:r>
    </w:p>
    <w:p w:rsidR="00C23CDE" w:rsidRPr="00AF1E3F" w:rsidRDefault="00C23CDE" w:rsidP="009B761A">
      <w:pPr>
        <w:spacing w:after="0" w:line="240" w:lineRule="auto"/>
        <w:rPr>
          <w:rFonts w:ascii="ambleregular" w:eastAsia="Times New Roman" w:hAnsi="ambleregular" w:cs="Times New Roman"/>
          <w:lang w:eastAsia="de-DE"/>
        </w:rPr>
      </w:pPr>
      <w:bookmarkStart w:id="15" w:name="rd_11"/>
      <w:r w:rsidRPr="00AF1E3F">
        <w:rPr>
          <w:rFonts w:ascii="ambleregular" w:eastAsia="Times New Roman" w:hAnsi="ambleregular" w:cs="Times New Roman"/>
          <w:b/>
          <w:bCs/>
          <w:lang w:eastAsia="de-DE"/>
        </w:rPr>
        <w:t>11</w:t>
      </w:r>
      <w:bookmarkEnd w:id="15"/>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Die Beteiligten zu 1 und 3 beantragen,</w:t>
      </w:r>
    </w:p>
    <w:p w:rsidR="00C23CDE" w:rsidRPr="00AF1E3F" w:rsidRDefault="00C23CDE" w:rsidP="009B761A">
      <w:pPr>
        <w:spacing w:after="0" w:line="240" w:lineRule="auto"/>
        <w:rPr>
          <w:rFonts w:ascii="ambleregular" w:eastAsia="Times New Roman" w:hAnsi="ambleregular" w:cs="Times New Roman"/>
          <w:lang w:eastAsia="de-DE"/>
        </w:rPr>
      </w:pPr>
      <w:bookmarkStart w:id="16" w:name="rd_12"/>
      <w:r w:rsidRPr="00AF1E3F">
        <w:rPr>
          <w:rFonts w:ascii="ambleregular" w:eastAsia="Times New Roman" w:hAnsi="ambleregular" w:cs="Times New Roman"/>
          <w:b/>
          <w:bCs/>
          <w:lang w:eastAsia="de-DE"/>
        </w:rPr>
        <w:t>12</w:t>
      </w:r>
      <w:bookmarkEnd w:id="16"/>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die Beschwerde zurückzuweisen.</w:t>
      </w:r>
    </w:p>
    <w:p w:rsidR="00C23CDE" w:rsidRPr="00AF1E3F" w:rsidRDefault="00C23CDE" w:rsidP="009B761A">
      <w:pPr>
        <w:spacing w:after="0" w:line="240" w:lineRule="auto"/>
        <w:rPr>
          <w:rFonts w:ascii="ambleregular" w:eastAsia="Times New Roman" w:hAnsi="ambleregular" w:cs="Times New Roman"/>
          <w:lang w:eastAsia="de-DE"/>
        </w:rPr>
      </w:pPr>
      <w:bookmarkStart w:id="17" w:name="rd_13"/>
      <w:r w:rsidRPr="00AF1E3F">
        <w:rPr>
          <w:rFonts w:ascii="ambleregular" w:eastAsia="Times New Roman" w:hAnsi="ambleregular" w:cs="Times New Roman"/>
          <w:b/>
          <w:bCs/>
          <w:lang w:eastAsia="de-DE"/>
        </w:rPr>
        <w:t>13</w:t>
      </w:r>
      <w:bookmarkEnd w:id="17"/>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lastRenderedPageBreak/>
        <w:t>Der Arbeitgeber ist der Auffassung, die Information des Betriebsrats, es sei beabsichtigt eine Teilb</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triebsstilllegung durchzuführen, stelle ein Betriebs- bzw. Geschäftsgeheimnis dar. Der Beteiligte zu 2 habe in erheblicher Weise seine Solidaritätspflichten gegenüber seinen Betriebsratskollegen verletzt. Er hätte nach </w:t>
      </w:r>
      <w:hyperlink r:id="rId13" w:history="1">
        <w:r w:rsidRPr="00AF1E3F">
          <w:rPr>
            <w:rFonts w:ascii="ambleregular" w:eastAsia="Times New Roman" w:hAnsi="ambleregular" w:cs="Times New Roman"/>
            <w:lang w:eastAsia="de-DE"/>
          </w:rPr>
          <w:t>§ 31 BetrVG</w:t>
        </w:r>
      </w:hyperlink>
      <w:r w:rsidR="00C845E6">
        <w:rPr>
          <w:rStyle w:val="Funotenzeichen"/>
          <w:rFonts w:ascii="ambleregular" w:eastAsia="Times New Roman" w:hAnsi="ambleregular" w:cs="Times New Roman"/>
          <w:lang w:eastAsia="de-DE"/>
        </w:rPr>
        <w:footnoteReference w:id="2"/>
      </w:r>
      <w:r w:rsidRPr="00AF1E3F">
        <w:rPr>
          <w:rFonts w:ascii="ambleregular" w:eastAsia="Times New Roman" w:hAnsi="ambleregular" w:cs="Times New Roman"/>
          <w:lang w:eastAsia="de-DE"/>
        </w:rPr>
        <w:t> mit einem weiteren Betriebsratsmitglied beantragen können, die Gewer</w:t>
      </w:r>
      <w:r w:rsidRPr="00AF1E3F">
        <w:rPr>
          <w:rFonts w:ascii="ambleregular" w:eastAsia="Times New Roman" w:hAnsi="ambleregular" w:cs="Times New Roman"/>
          <w:lang w:eastAsia="de-DE"/>
        </w:rPr>
        <w:t>k</w:t>
      </w:r>
      <w:r w:rsidRPr="00AF1E3F">
        <w:rPr>
          <w:rFonts w:ascii="ambleregular" w:eastAsia="Times New Roman" w:hAnsi="ambleregular" w:cs="Times New Roman"/>
          <w:lang w:eastAsia="de-DE"/>
        </w:rPr>
        <w:t>schaft an der Betriebsratssitzung teilnehmen zu lassen. Gerade weil offensichtlich über die Frage der Einschaltung der Gewerkschaft innerhalb des Gremiums unterschiedliche Auffassungen existierten, sei eine vorherige Beschlussfassung notwendig gewesen. Darüber habe sich der Beteiligte zu 2 hi</w:t>
      </w:r>
      <w:r w:rsidRPr="00AF1E3F">
        <w:rPr>
          <w:rFonts w:ascii="ambleregular" w:eastAsia="Times New Roman" w:hAnsi="ambleregular" w:cs="Times New Roman"/>
          <w:lang w:eastAsia="de-DE"/>
        </w:rPr>
        <w:t>n</w:t>
      </w:r>
      <w:r w:rsidRPr="00AF1E3F">
        <w:rPr>
          <w:rFonts w:ascii="ambleregular" w:eastAsia="Times New Roman" w:hAnsi="ambleregular" w:cs="Times New Roman"/>
          <w:lang w:eastAsia="de-DE"/>
        </w:rPr>
        <w:t>weggesetzt. Im Hinblick auf die Mitteilung von Herrn A über die vorläufige Geheimhaltung der Ang</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legenheit hätte er die Entscheidung des Gremiums abwarten müssen.</w:t>
      </w:r>
    </w:p>
    <w:p w:rsidR="00C23CDE" w:rsidRPr="00AF1E3F" w:rsidRDefault="00C23CDE" w:rsidP="009B761A">
      <w:pPr>
        <w:spacing w:after="0" w:line="240" w:lineRule="auto"/>
        <w:rPr>
          <w:rFonts w:ascii="ambleregular" w:eastAsia="Times New Roman" w:hAnsi="ambleregular" w:cs="Times New Roman"/>
          <w:lang w:eastAsia="de-DE"/>
        </w:rPr>
      </w:pPr>
      <w:bookmarkStart w:id="18" w:name="rd_14"/>
      <w:r w:rsidRPr="00AF1E3F">
        <w:rPr>
          <w:rFonts w:ascii="ambleregular" w:eastAsia="Times New Roman" w:hAnsi="ambleregular" w:cs="Times New Roman"/>
          <w:b/>
          <w:bCs/>
          <w:lang w:eastAsia="de-DE"/>
        </w:rPr>
        <w:t>14</w:t>
      </w:r>
      <w:bookmarkEnd w:id="18"/>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Auch der Betriebsrat vertritt die Ansicht, bei den durch den Beteiligten zu 2 weitergegebenen Inform</w:t>
      </w:r>
      <w:r w:rsidRPr="00AF1E3F">
        <w:rPr>
          <w:rFonts w:ascii="ambleregular" w:eastAsia="Times New Roman" w:hAnsi="ambleregular" w:cs="Times New Roman"/>
          <w:lang w:eastAsia="de-DE"/>
        </w:rPr>
        <w:t>a</w:t>
      </w:r>
      <w:r w:rsidRPr="00AF1E3F">
        <w:rPr>
          <w:rFonts w:ascii="ambleregular" w:eastAsia="Times New Roman" w:hAnsi="ambleregular" w:cs="Times New Roman"/>
          <w:lang w:eastAsia="de-DE"/>
        </w:rPr>
        <w:t>tionen habe es sich um Geschäftsgeheimnisse im Sinne von </w:t>
      </w:r>
      <w:hyperlink r:id="rId14" w:history="1">
        <w:r w:rsidRPr="00AF1E3F">
          <w:rPr>
            <w:rFonts w:ascii="ambleregular" w:eastAsia="Times New Roman" w:hAnsi="ambleregular" w:cs="Times New Roman"/>
            <w:lang w:eastAsia="de-DE"/>
          </w:rPr>
          <w:t>§ 79 Abs. 1 BetrVG</w:t>
        </w:r>
      </w:hyperlink>
      <w:r w:rsidRPr="00AF1E3F">
        <w:rPr>
          <w:rFonts w:ascii="ambleregular" w:eastAsia="Times New Roman" w:hAnsi="ambleregular" w:cs="Times New Roman"/>
          <w:lang w:eastAsia="de-DE"/>
        </w:rPr>
        <w:t> gehandelt. Letztlich komme es hierauf nicht an, wie das Arbeitsgericht Offenbach am Main zutreffend erkannt habe. Der Beteiligte zu 2 habe das Gebot der Vertraulichkeit innerhalb des Betriebsratsgremiums durch sein Verhalten in grober Weise verletzt. Aufgrund dessen müsse der Betriebsrat davon ausgehen, dass der Beteiligte zu 2 auch in Zukunft Ergebnisse und Informationen von Betriebsratssitzungen und B</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triebsgeheimnisse ohne deren Wissen und Einverständnis an die Gewerkschaft weitergebe und damit das gesamte Gremium in Verruf bringe. Eine Weiterführung des Amtes durch den Beteiligten zu 2 sei den übrigen Betriebsratsmitgliedern nicht zuzumuten. Unter diesen Umständen könnten sie in ihren gemeinsamen Sitzungen ihre Meinung nicht mehr frei äußern, da sie stets befürchten müssten, dass der Beteiligte zu 2 ihre Ansichten, ihr Abstimmungsverhalten sowie vertrauliche Informationen ohne ihr Wissen an die Gewerkschaft weitergebe. Darauf, dass der Beteiligte zu 2 das einzige Gewerkschaft</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mitglied im Betriebsrat ist, komme es nicht an. Zur Hinzuziehung der Gewerkschaft hätte er nur ein weiteres Betriebsratsmitglied überzeugen müssen. Zum Zeitpunkt der Unterrichtung der Gewerkschaft habe der Beteiligte zu 2 nicht gewusst, ob andere Betriebsratsmitglieder hiermit einverstanden sind. Er habe auch nicht den Versuch unternommen, einen seiner Kollegen hiervon zu überzeugen. Schon gar nicht habe er den Betriebsrat insgesamt von seiner Absicht überzeugen wollen, die Gewerkschaft ei</w:t>
      </w:r>
      <w:r w:rsidRPr="00AF1E3F">
        <w:rPr>
          <w:rFonts w:ascii="ambleregular" w:eastAsia="Times New Roman" w:hAnsi="ambleregular" w:cs="Times New Roman"/>
          <w:lang w:eastAsia="de-DE"/>
        </w:rPr>
        <w:t>n</w:t>
      </w:r>
      <w:r w:rsidRPr="00AF1E3F">
        <w:rPr>
          <w:rFonts w:ascii="ambleregular" w:eastAsia="Times New Roman" w:hAnsi="ambleregular" w:cs="Times New Roman"/>
          <w:lang w:eastAsia="de-DE"/>
        </w:rPr>
        <w:t>zuschalten, noch eine Entscheidung des Betriebsrats hierüber abgewartet. Zwar unterliege der Beteili</w:t>
      </w:r>
      <w:r w:rsidRPr="00AF1E3F">
        <w:rPr>
          <w:rFonts w:ascii="ambleregular" w:eastAsia="Times New Roman" w:hAnsi="ambleregular" w:cs="Times New Roman"/>
          <w:lang w:eastAsia="de-DE"/>
        </w:rPr>
        <w:t>g</w:t>
      </w:r>
      <w:r w:rsidRPr="00AF1E3F">
        <w:rPr>
          <w:rFonts w:ascii="ambleregular" w:eastAsia="Times New Roman" w:hAnsi="ambleregular" w:cs="Times New Roman"/>
          <w:lang w:eastAsia="de-DE"/>
        </w:rPr>
        <w:t>te zu 2 nicht dem Weisungsrecht des Betriebsratsvorsitzenden, er müsse jedoch zumindest die B</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schlüsse des Gremiums abwarten, gerade dann wenn ihm bekannt sei, dass es unterschiedliche Auffa</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sungen zwischen den Betriebsratsmitgliedern gibt. Dies gelte auch dann, wenn er befürchte, dass B</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schlüsse gefasst werden, mit denen er nicht einverstanden ist. Dieses Gebot der Rücksichtnahme und der Solidarität habe der Beteiligte zu 2 durch seinen Alleingang missachtet.</w:t>
      </w:r>
    </w:p>
    <w:p w:rsidR="00C23CDE" w:rsidRPr="00AF1E3F" w:rsidRDefault="00C23CDE" w:rsidP="009B761A">
      <w:pPr>
        <w:spacing w:after="0" w:line="240" w:lineRule="auto"/>
        <w:rPr>
          <w:rFonts w:ascii="ambleregular" w:eastAsia="Times New Roman" w:hAnsi="ambleregular" w:cs="Times New Roman"/>
          <w:lang w:eastAsia="de-DE"/>
        </w:rPr>
      </w:pPr>
      <w:bookmarkStart w:id="19" w:name="rd_15"/>
      <w:r w:rsidRPr="00AF1E3F">
        <w:rPr>
          <w:rFonts w:ascii="ambleregular" w:eastAsia="Times New Roman" w:hAnsi="ambleregular" w:cs="Times New Roman"/>
          <w:b/>
          <w:bCs/>
          <w:lang w:eastAsia="de-DE"/>
        </w:rPr>
        <w:t>15</w:t>
      </w:r>
      <w:bookmarkEnd w:id="19"/>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Wegen der weiteren Einzelheiten des Vorbringens der Beteiligten wird auf die gewechselten Schrift</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ätze nebst Anlagen sowie die Anhörungsprotokolle Bezug genommen.</w:t>
      </w:r>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II.</w:t>
      </w:r>
    </w:p>
    <w:p w:rsidR="00C23CDE" w:rsidRPr="00AF1E3F" w:rsidRDefault="00C23CDE" w:rsidP="009B761A">
      <w:pPr>
        <w:spacing w:after="0" w:line="240" w:lineRule="auto"/>
        <w:rPr>
          <w:rFonts w:ascii="ambleregular" w:eastAsia="Times New Roman" w:hAnsi="ambleregular" w:cs="Times New Roman"/>
          <w:lang w:eastAsia="de-DE"/>
        </w:rPr>
      </w:pPr>
      <w:bookmarkStart w:id="20" w:name="rd_16"/>
      <w:r w:rsidRPr="00AF1E3F">
        <w:rPr>
          <w:rFonts w:ascii="ambleregular" w:eastAsia="Times New Roman" w:hAnsi="ambleregular" w:cs="Times New Roman"/>
          <w:b/>
          <w:bCs/>
          <w:lang w:eastAsia="de-DE"/>
        </w:rPr>
        <w:t>16</w:t>
      </w:r>
      <w:bookmarkEnd w:id="20"/>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1. Die Beschwerde ist statthaft, </w:t>
      </w:r>
      <w:hyperlink r:id="rId15" w:history="1">
        <w:r w:rsidRPr="00AF1E3F">
          <w:rPr>
            <w:rFonts w:ascii="ambleregular" w:eastAsia="Times New Roman" w:hAnsi="ambleregular" w:cs="Times New Roman"/>
            <w:lang w:eastAsia="de-DE"/>
          </w:rPr>
          <w:t>§ 87 Abs. 1 ArbGG</w:t>
        </w:r>
      </w:hyperlink>
      <w:r w:rsidRPr="00AF1E3F">
        <w:rPr>
          <w:rFonts w:ascii="ambleregular" w:eastAsia="Times New Roman" w:hAnsi="ambleregular" w:cs="Times New Roman"/>
          <w:lang w:eastAsia="de-DE"/>
        </w:rPr>
        <w:t>, und zulässig, da sie form- und fristgerecht eing</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legt und begründet wurde, </w:t>
      </w:r>
      <w:hyperlink r:id="rId16" w:history="1">
        <w:r w:rsidRPr="00AF1E3F">
          <w:rPr>
            <w:rFonts w:ascii="ambleregular" w:eastAsia="Times New Roman" w:hAnsi="ambleregular" w:cs="Times New Roman"/>
            <w:lang w:eastAsia="de-DE"/>
          </w:rPr>
          <w:t>§ 87 </w:t>
        </w:r>
      </w:hyperlink>
      <w:r w:rsidRPr="00AF1E3F">
        <w:rPr>
          <w:rFonts w:ascii="ambleregular" w:eastAsia="Times New Roman" w:hAnsi="ambleregular" w:cs="Times New Roman"/>
          <w:lang w:eastAsia="de-DE"/>
        </w:rPr>
        <w:t>Abs. 2 S. 1, </w:t>
      </w:r>
      <w:hyperlink r:id="rId17" w:history="1">
        <w:r w:rsidRPr="00AF1E3F">
          <w:rPr>
            <w:rFonts w:ascii="ambleregular" w:eastAsia="Times New Roman" w:hAnsi="ambleregular" w:cs="Times New Roman"/>
            <w:lang w:eastAsia="de-DE"/>
          </w:rPr>
          <w:t>§ 66 </w:t>
        </w:r>
      </w:hyperlink>
      <w:r w:rsidRPr="00AF1E3F">
        <w:rPr>
          <w:rFonts w:ascii="ambleregular" w:eastAsia="Times New Roman" w:hAnsi="ambleregular" w:cs="Times New Roman"/>
          <w:lang w:eastAsia="de-DE"/>
        </w:rPr>
        <w:t>Abs. 1 S. 1, </w:t>
      </w:r>
      <w:hyperlink r:id="rId18" w:history="1">
        <w:r w:rsidRPr="00AF1E3F">
          <w:rPr>
            <w:rFonts w:ascii="ambleregular" w:eastAsia="Times New Roman" w:hAnsi="ambleregular" w:cs="Times New Roman"/>
            <w:lang w:eastAsia="de-DE"/>
          </w:rPr>
          <w:t>§ 89 Abs. 1 und 2 ArbGG</w:t>
        </w:r>
      </w:hyperlink>
      <w:r w:rsidRPr="00AF1E3F">
        <w:rPr>
          <w:rFonts w:ascii="ambleregular" w:eastAsia="Times New Roman" w:hAnsi="ambleregular" w:cs="Times New Roman"/>
          <w:lang w:eastAsia="de-DE"/>
        </w:rPr>
        <w:t>, </w:t>
      </w:r>
      <w:hyperlink r:id="rId19" w:history="1">
        <w:r w:rsidRPr="00AF1E3F">
          <w:rPr>
            <w:rFonts w:ascii="ambleregular" w:eastAsia="Times New Roman" w:hAnsi="ambleregular" w:cs="Times New Roman"/>
            <w:lang w:eastAsia="de-DE"/>
          </w:rPr>
          <w:t>§ 594 ZPO</w:t>
        </w:r>
      </w:hyperlink>
      <w:r w:rsidRPr="00AF1E3F">
        <w:rPr>
          <w:rFonts w:ascii="ambleregular" w:eastAsia="Times New Roman" w:hAnsi="ambleregular" w:cs="Times New Roman"/>
          <w:lang w:eastAsia="de-DE"/>
        </w:rPr>
        <w:t>.</w:t>
      </w:r>
    </w:p>
    <w:p w:rsidR="00C23CDE" w:rsidRPr="00AF1E3F" w:rsidRDefault="00C23CDE" w:rsidP="009B761A">
      <w:pPr>
        <w:spacing w:after="0" w:line="240" w:lineRule="auto"/>
        <w:rPr>
          <w:rFonts w:ascii="ambleregular" w:eastAsia="Times New Roman" w:hAnsi="ambleregular" w:cs="Times New Roman"/>
          <w:lang w:eastAsia="de-DE"/>
        </w:rPr>
      </w:pPr>
      <w:bookmarkStart w:id="21" w:name="rd_17"/>
      <w:r w:rsidRPr="00AF1E3F">
        <w:rPr>
          <w:rFonts w:ascii="ambleregular" w:eastAsia="Times New Roman" w:hAnsi="ambleregular" w:cs="Times New Roman"/>
          <w:b/>
          <w:bCs/>
          <w:lang w:eastAsia="de-DE"/>
        </w:rPr>
        <w:t>17</w:t>
      </w:r>
      <w:bookmarkEnd w:id="21"/>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2. Die Beschwerde ist begründet. Der Antrag, den Beteiligten zu 2 aus dem Betriebsrat auszuschli</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ßen, ist unbegründet.</w:t>
      </w:r>
    </w:p>
    <w:p w:rsidR="00C23CDE" w:rsidRPr="00AF1E3F" w:rsidRDefault="00C23CDE" w:rsidP="009B761A">
      <w:pPr>
        <w:spacing w:after="0" w:line="240" w:lineRule="auto"/>
        <w:rPr>
          <w:rFonts w:ascii="ambleregular" w:eastAsia="Times New Roman" w:hAnsi="ambleregular" w:cs="Times New Roman"/>
          <w:lang w:eastAsia="de-DE"/>
        </w:rPr>
      </w:pPr>
      <w:bookmarkStart w:id="22" w:name="rd_18"/>
      <w:r w:rsidRPr="00AF1E3F">
        <w:rPr>
          <w:rFonts w:ascii="ambleregular" w:eastAsia="Times New Roman" w:hAnsi="ambleregular" w:cs="Times New Roman"/>
          <w:b/>
          <w:bCs/>
          <w:lang w:eastAsia="de-DE"/>
        </w:rPr>
        <w:t>18</w:t>
      </w:r>
      <w:bookmarkEnd w:id="22"/>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Nach </w:t>
      </w:r>
      <w:hyperlink r:id="rId20" w:history="1">
        <w:r w:rsidRPr="00AF1E3F">
          <w:rPr>
            <w:rFonts w:ascii="ambleregular" w:eastAsia="Times New Roman" w:hAnsi="ambleregular" w:cs="Times New Roman"/>
            <w:lang w:eastAsia="de-DE"/>
          </w:rPr>
          <w:t>§ 23 Abs. 1 BetrVG</w:t>
        </w:r>
      </w:hyperlink>
      <w:r w:rsidRPr="00AF1E3F">
        <w:rPr>
          <w:rFonts w:ascii="ambleregular" w:eastAsia="Times New Roman" w:hAnsi="ambleregular" w:cs="Times New Roman"/>
          <w:lang w:eastAsia="de-DE"/>
        </w:rPr>
        <w:t> können (u.a.) der Arbeitgeber und der Betriebsrat den Ausschluss eines Mitglieds aus dem Betriebsrat wegen grober Verletzung seiner gesetzlichen Pflichten beantragen. Zu den gesetzlichen Pflichten gehören alle Pflichten aus dem Betriebsverfassungsgesetz. Eine zum Au</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schluss führende Pflichtverletzung muss schuldhaft, d.h. vorsätzlich oder grob fahrlässig begangen worden sein. Es genügt eine einmalige grobe Pflichtverletzung. Erforderlich ist eine besonders schwerwiegende Pflichtverletzung, die unter Berücksichtigung aller Umstände eine weitere Amtsfü</w:t>
      </w:r>
      <w:r w:rsidRPr="00AF1E3F">
        <w:rPr>
          <w:rFonts w:ascii="ambleregular" w:eastAsia="Times New Roman" w:hAnsi="ambleregular" w:cs="Times New Roman"/>
          <w:lang w:eastAsia="de-DE"/>
        </w:rPr>
        <w:t>h</w:t>
      </w:r>
      <w:r w:rsidRPr="00AF1E3F">
        <w:rPr>
          <w:rFonts w:ascii="ambleregular" w:eastAsia="Times New Roman" w:hAnsi="ambleregular" w:cs="Times New Roman"/>
          <w:lang w:eastAsia="de-DE"/>
        </w:rPr>
        <w:t>rung untragbar werden lässt. Nach </w:t>
      </w:r>
      <w:hyperlink r:id="rId21" w:history="1">
        <w:r w:rsidRPr="00AF1E3F">
          <w:rPr>
            <w:rFonts w:ascii="ambleregular" w:eastAsia="Times New Roman" w:hAnsi="ambleregular" w:cs="Times New Roman"/>
            <w:lang w:eastAsia="de-DE"/>
          </w:rPr>
          <w:t>§ 79 BetrVG</w:t>
        </w:r>
      </w:hyperlink>
      <w:r w:rsidRPr="00AF1E3F">
        <w:rPr>
          <w:rFonts w:ascii="ambleregular" w:eastAsia="Times New Roman" w:hAnsi="ambleregular" w:cs="Times New Roman"/>
          <w:lang w:eastAsia="de-DE"/>
        </w:rPr>
        <w:t> unterliegen Betriebsratsmitglieder zu Gunsten des Arbeitgebers einer Geheimhaltungspflicht. Darüber hinaus lässt sich eine allgemeine Geheimhaltung</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pflicht der Betriebsratsmitglieder zu Gunsten des Betriebsrats nicht aus </w:t>
      </w:r>
      <w:hyperlink r:id="rId22" w:history="1">
        <w:r w:rsidRPr="00AF1E3F">
          <w:rPr>
            <w:rFonts w:ascii="ambleregular" w:eastAsia="Times New Roman" w:hAnsi="ambleregular" w:cs="Times New Roman"/>
            <w:lang w:eastAsia="de-DE"/>
          </w:rPr>
          <w:t xml:space="preserve">§ 30 S. 4 </w:t>
        </w:r>
        <w:proofErr w:type="spellStart"/>
        <w:r w:rsidRPr="00AF1E3F">
          <w:rPr>
            <w:rFonts w:ascii="ambleregular" w:eastAsia="Times New Roman" w:hAnsi="ambleregular" w:cs="Times New Roman"/>
            <w:lang w:eastAsia="de-DE"/>
          </w:rPr>
          <w:t>BetrVG</w:t>
        </w:r>
      </w:hyperlink>
      <w:r w:rsidRPr="00AF1E3F">
        <w:rPr>
          <w:rFonts w:ascii="ambleregular" w:eastAsia="Times New Roman" w:hAnsi="ambleregular" w:cs="Times New Roman"/>
          <w:lang w:eastAsia="de-DE"/>
        </w:rPr>
        <w:t>herleiten</w:t>
      </w:r>
      <w:proofErr w:type="spellEnd"/>
      <w:r w:rsidRPr="00AF1E3F">
        <w:rPr>
          <w:rFonts w:ascii="ambleregular" w:eastAsia="Times New Roman" w:hAnsi="ambleregular" w:cs="Times New Roman"/>
          <w:lang w:eastAsia="de-DE"/>
        </w:rPr>
        <w:t>. Soweit die Schweigepflicht besteht, hängt es von den Umständen des Einzelfalls ab, ob gegen sie ve</w:t>
      </w:r>
      <w:r w:rsidRPr="00AF1E3F">
        <w:rPr>
          <w:rFonts w:ascii="ambleregular" w:eastAsia="Times New Roman" w:hAnsi="ambleregular" w:cs="Times New Roman"/>
          <w:lang w:eastAsia="de-DE"/>
        </w:rPr>
        <w:t>r</w:t>
      </w:r>
      <w:r w:rsidRPr="00AF1E3F">
        <w:rPr>
          <w:rFonts w:ascii="ambleregular" w:eastAsia="Times New Roman" w:hAnsi="ambleregular" w:cs="Times New Roman"/>
          <w:lang w:eastAsia="de-DE"/>
        </w:rPr>
        <w:t xml:space="preserve">stoßen wurde. Dies kann insbesondere bei schwerwiegenden Verstößen gegen die Schweigepflicht </w:t>
      </w:r>
      <w:r w:rsidRPr="00AF1E3F">
        <w:rPr>
          <w:rFonts w:ascii="ambleregular" w:eastAsia="Times New Roman" w:hAnsi="ambleregular" w:cs="Times New Roman"/>
          <w:lang w:eastAsia="de-DE"/>
        </w:rPr>
        <w:lastRenderedPageBreak/>
        <w:t>oder im Wiederholungsfall anzunehmen sein ().</w:t>
      </w:r>
    </w:p>
    <w:bookmarkStart w:id="23" w:name="rd_19"/>
    <w:p w:rsidR="00C23CDE" w:rsidRPr="00AF1E3F" w:rsidRDefault="00F0240E" w:rsidP="009B761A">
      <w:pPr>
        <w:spacing w:after="0" w:line="240" w:lineRule="auto"/>
        <w:rPr>
          <w:rFonts w:ascii="ambleregular" w:eastAsia="Times New Roman" w:hAnsi="ambleregular" w:cs="Times New Roman"/>
          <w:lang w:eastAsia="de-DE"/>
        </w:rPr>
      </w:pPr>
      <w:r w:rsidRPr="00AF1E3F">
        <w:fldChar w:fldCharType="begin"/>
      </w:r>
      <w:r w:rsidRPr="00AF1E3F">
        <w:instrText xml:space="preserve"> HYPERLINK "https://www.juris.de/r3/?docId=JURE170028397&amp;docFormat=xsl&amp;docPart=L" </w:instrText>
      </w:r>
      <w:r w:rsidRPr="00AF1E3F">
        <w:fldChar w:fldCharType="separate"/>
      </w:r>
      <w:r w:rsidR="00C23CDE" w:rsidRPr="00AF1E3F">
        <w:rPr>
          <w:rFonts w:ascii="ambleregular" w:eastAsia="Times New Roman" w:hAnsi="ambleregular" w:cs="Times New Roman"/>
          <w:b/>
          <w:bCs/>
          <w:lang w:eastAsia="de-DE"/>
        </w:rPr>
        <w:t>19</w:t>
      </w:r>
      <w:r w:rsidRPr="00AF1E3F">
        <w:rPr>
          <w:rFonts w:ascii="ambleregular" w:eastAsia="Times New Roman" w:hAnsi="ambleregular" w:cs="Times New Roman"/>
          <w:b/>
          <w:bCs/>
          <w:lang w:eastAsia="de-DE"/>
        </w:rPr>
        <w:fldChar w:fldCharType="end"/>
      </w:r>
      <w:bookmarkEnd w:id="23"/>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Das Arbeitsgericht durfte nicht offen lassen, ob der Beteiligte zu 2 gegen die Geheimhaltungspflicht nach </w:t>
      </w:r>
      <w:hyperlink r:id="rId23" w:history="1">
        <w:r w:rsidRPr="00AF1E3F">
          <w:rPr>
            <w:rFonts w:ascii="ambleregular" w:eastAsia="Times New Roman" w:hAnsi="ambleregular" w:cs="Times New Roman"/>
            <w:lang w:eastAsia="de-DE"/>
          </w:rPr>
          <w:t>§ 79 BetrVG</w:t>
        </w:r>
      </w:hyperlink>
      <w:r w:rsidRPr="00AF1E3F">
        <w:rPr>
          <w:rFonts w:ascii="ambleregular" w:eastAsia="Times New Roman" w:hAnsi="ambleregular" w:cs="Times New Roman"/>
          <w:lang w:eastAsia="de-DE"/>
        </w:rPr>
        <w:t> verstoßen hat, indem er die Gewerkschaft über die bevorstehende Maßnahme des Arbeitgebers informierte. Es hat verkannt, dass es gerade keine allgemeine Geheimhaltungspflicht der Betriebsratsmitglieder gibt. Eine solche besteht vielmehr nur im Falle eines Betriebs- oder Geschäft</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geheimnisses i.S.v. </w:t>
      </w:r>
      <w:hyperlink r:id="rId24" w:history="1">
        <w:r w:rsidRPr="00AF1E3F">
          <w:rPr>
            <w:rFonts w:ascii="ambleregular" w:eastAsia="Times New Roman" w:hAnsi="ambleregular" w:cs="Times New Roman"/>
            <w:lang w:eastAsia="de-DE"/>
          </w:rPr>
          <w:t>§ 79 BetrVG</w:t>
        </w:r>
      </w:hyperlink>
      <w:r w:rsidRPr="00AF1E3F">
        <w:rPr>
          <w:rFonts w:ascii="ambleregular" w:eastAsia="Times New Roman" w:hAnsi="ambleregular" w:cs="Times New Roman"/>
          <w:lang w:eastAsia="de-DE"/>
        </w:rPr>
        <w:t>. Darüber hinaus sind Daten aus dem privaten Bereich der Arbei</w:t>
      </w:r>
      <w:r w:rsidRPr="00AF1E3F">
        <w:rPr>
          <w:rFonts w:ascii="ambleregular" w:eastAsia="Times New Roman" w:hAnsi="ambleregular" w:cs="Times New Roman"/>
          <w:lang w:eastAsia="de-DE"/>
        </w:rPr>
        <w:t>t</w:t>
      </w:r>
      <w:r w:rsidRPr="00AF1E3F">
        <w:rPr>
          <w:rFonts w:ascii="ambleregular" w:eastAsia="Times New Roman" w:hAnsi="ambleregular" w:cs="Times New Roman"/>
          <w:lang w:eastAsia="de-DE"/>
        </w:rPr>
        <w:t>nehmer vertraulich zu behandeln (). Die vom Arbeitsgericht angenomm</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ne "Solidaritätspflicht" des einzelnen Betriebsratsmitglieds gegenüber dem Gremium ist viel zu unbestimmt, um daraus Recht</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wirkungen (bis hin zum Ausschluss aus dem Betriebsrat) herleiten zu können. Auch die vom Arbeit</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gericht herangezogene Entscheidung des Bundesarbeitsgerichts vom 5. September 1967 (- </w:t>
      </w:r>
      <w:hyperlink r:id="rId25" w:history="1">
        <w:r w:rsidRPr="00AF1E3F">
          <w:rPr>
            <w:rFonts w:ascii="ambleregular" w:eastAsia="Times New Roman" w:hAnsi="ambleregular" w:cs="Times New Roman"/>
            <w:lang w:eastAsia="de-DE"/>
          </w:rPr>
          <w:t>1 ABR 1/67</w:t>
        </w:r>
      </w:hyperlink>
      <w:bookmarkStart w:id="24" w:name="_GoBack"/>
      <w:bookmarkEnd w:id="24"/>
      <w:r w:rsidRPr="00AF1E3F">
        <w:rPr>
          <w:rFonts w:ascii="ambleregular" w:eastAsia="Times New Roman" w:hAnsi="ambleregular" w:cs="Times New Roman"/>
          <w:lang w:eastAsia="de-DE"/>
        </w:rPr>
        <w:t>) nimmt eine solche nicht an.</w:t>
      </w:r>
    </w:p>
    <w:bookmarkStart w:id="25" w:name="rd_20"/>
    <w:p w:rsidR="00C23CDE" w:rsidRPr="00AF1E3F" w:rsidRDefault="00F0240E" w:rsidP="009B761A">
      <w:pPr>
        <w:spacing w:after="0" w:line="240" w:lineRule="auto"/>
        <w:rPr>
          <w:rFonts w:ascii="ambleregular" w:eastAsia="Times New Roman" w:hAnsi="ambleregular" w:cs="Times New Roman"/>
          <w:lang w:eastAsia="de-DE"/>
        </w:rPr>
      </w:pPr>
      <w:r w:rsidRPr="00AF1E3F">
        <w:fldChar w:fldCharType="begin"/>
      </w:r>
      <w:r w:rsidRPr="00AF1E3F">
        <w:instrText xml:space="preserve"> HYPERLINK "https://www.juris.de/r3/?docId=JURE170028397&amp;docFormat=xsl&amp;docPart=L" </w:instrText>
      </w:r>
      <w:r w:rsidRPr="00AF1E3F">
        <w:fldChar w:fldCharType="separate"/>
      </w:r>
      <w:r w:rsidR="00C23CDE" w:rsidRPr="00AF1E3F">
        <w:rPr>
          <w:rFonts w:ascii="ambleregular" w:eastAsia="Times New Roman" w:hAnsi="ambleregular" w:cs="Times New Roman"/>
          <w:b/>
          <w:bCs/>
          <w:lang w:eastAsia="de-DE"/>
        </w:rPr>
        <w:t>20</w:t>
      </w:r>
      <w:r w:rsidRPr="00AF1E3F">
        <w:rPr>
          <w:rFonts w:ascii="ambleregular" w:eastAsia="Times New Roman" w:hAnsi="ambleregular" w:cs="Times New Roman"/>
          <w:b/>
          <w:bCs/>
          <w:lang w:eastAsia="de-DE"/>
        </w:rPr>
        <w:fldChar w:fldCharType="end"/>
      </w:r>
      <w:bookmarkEnd w:id="25"/>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 xml:space="preserve">Ein dem Betriebsrat mitgeteilter geplanter interessenausgleichspflichtiger Personalabbau als solcher stellt kein Betriebs- oder Geschäftsgeheimnis </w:t>
      </w:r>
      <w:proofErr w:type="spellStart"/>
      <w:r w:rsidRPr="00AF1E3F">
        <w:rPr>
          <w:rFonts w:ascii="ambleregular" w:eastAsia="Times New Roman" w:hAnsi="ambleregular" w:cs="Times New Roman"/>
          <w:lang w:eastAsia="de-DE"/>
        </w:rPr>
        <w:t>i.S.d</w:t>
      </w:r>
      <w:proofErr w:type="spellEnd"/>
      <w:r w:rsidRPr="00AF1E3F">
        <w:rPr>
          <w:rFonts w:ascii="ambleregular" w:eastAsia="Times New Roman" w:hAnsi="ambleregular" w:cs="Times New Roman"/>
          <w:lang w:eastAsia="de-DE"/>
        </w:rPr>
        <w:t>. </w:t>
      </w:r>
      <w:hyperlink r:id="rId26" w:history="1">
        <w:r w:rsidRPr="00AF1E3F">
          <w:rPr>
            <w:rFonts w:ascii="ambleregular" w:eastAsia="Times New Roman" w:hAnsi="ambleregular" w:cs="Times New Roman"/>
            <w:lang w:eastAsia="de-DE"/>
          </w:rPr>
          <w:t>§ 79 BetrVG</w:t>
        </w:r>
      </w:hyperlink>
      <w:r w:rsidRPr="00AF1E3F">
        <w:rPr>
          <w:rFonts w:ascii="ambleregular" w:eastAsia="Times New Roman" w:hAnsi="ambleregular" w:cs="Times New Roman"/>
          <w:lang w:eastAsia="de-DE"/>
        </w:rPr>
        <w:t> dar. Zwar wird in der Literatur die Auffassung vertreten, beabsichtigte personelle Vorgänge, wie Entlassungen, Einstellungen, Verse</w:t>
      </w:r>
      <w:r w:rsidRPr="00AF1E3F">
        <w:rPr>
          <w:rFonts w:ascii="ambleregular" w:eastAsia="Times New Roman" w:hAnsi="ambleregular" w:cs="Times New Roman"/>
          <w:lang w:eastAsia="de-DE"/>
        </w:rPr>
        <w:t>t</w:t>
      </w:r>
      <w:r w:rsidRPr="00AF1E3F">
        <w:rPr>
          <w:rFonts w:ascii="ambleregular" w:eastAsia="Times New Roman" w:hAnsi="ambleregular" w:cs="Times New Roman"/>
          <w:lang w:eastAsia="de-DE"/>
        </w:rPr>
        <w:t>zungen, seien bis zu ihrer Durchführung Geschäftsgeheimnisse (). Dies kann jedoch jedenfalls ab dem Zeitpunkt nicht mehr gelten, zu dem der Arbeitgeber das nach dem BetrVG vorgesehene Mitwi</w:t>
      </w:r>
      <w:r w:rsidRPr="00AF1E3F">
        <w:rPr>
          <w:rFonts w:ascii="ambleregular" w:eastAsia="Times New Roman" w:hAnsi="ambleregular" w:cs="Times New Roman"/>
          <w:lang w:eastAsia="de-DE"/>
        </w:rPr>
        <w:t>r</w:t>
      </w:r>
      <w:r w:rsidRPr="00AF1E3F">
        <w:rPr>
          <w:rFonts w:ascii="ambleregular" w:eastAsia="Times New Roman" w:hAnsi="ambleregular" w:cs="Times New Roman"/>
          <w:lang w:eastAsia="de-DE"/>
        </w:rPr>
        <w:t>kungsverfahren eingeleitet hat. Die nach </w:t>
      </w:r>
      <w:hyperlink r:id="rId27" w:history="1">
        <w:r w:rsidRPr="00AF1E3F">
          <w:rPr>
            <w:rFonts w:ascii="ambleregular" w:eastAsia="Times New Roman" w:hAnsi="ambleregular" w:cs="Times New Roman"/>
            <w:lang w:eastAsia="de-DE"/>
          </w:rPr>
          <w:t>§§ 111</w:t>
        </w:r>
      </w:hyperlink>
      <w:r w:rsidRPr="00AF1E3F">
        <w:rPr>
          <w:rFonts w:ascii="ambleregular" w:eastAsia="Times New Roman" w:hAnsi="ambleregular" w:cs="Times New Roman"/>
          <w:lang w:eastAsia="de-DE"/>
        </w:rPr>
        <w:t>,</w:t>
      </w:r>
      <w:r w:rsidR="00C845E6">
        <w:rPr>
          <w:rFonts w:ascii="ambleregular" w:eastAsia="Times New Roman" w:hAnsi="ambleregular" w:cs="Times New Roman"/>
          <w:lang w:eastAsia="de-DE"/>
        </w:rPr>
        <w:t xml:space="preserve"> 112 BetrVG</w:t>
      </w:r>
      <w:r w:rsidR="00C845E6">
        <w:rPr>
          <w:rStyle w:val="Funotenzeichen"/>
          <w:rFonts w:ascii="ambleregular" w:eastAsia="Times New Roman" w:hAnsi="ambleregular" w:cs="Times New Roman"/>
          <w:lang w:eastAsia="de-DE"/>
        </w:rPr>
        <w:footnoteReference w:id="3"/>
      </w:r>
      <w:r w:rsidRPr="00AF1E3F">
        <w:rPr>
          <w:rFonts w:ascii="ambleregular" w:eastAsia="Times New Roman" w:hAnsi="ambleregular" w:cs="Times New Roman"/>
          <w:lang w:eastAsia="de-DE"/>
        </w:rPr>
        <w:t> mitbestimmungspflichtige Maßnahme als solche genießt keinen Geheimschutz. Der Arbeitgeber hat kein sachlich begründetes, objektiv b</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rechtigtes Geheimhaltungsinteresse daran, dass ein Betriebsrat erst kommuniziert, wenn seine En</w:t>
      </w:r>
      <w:r w:rsidRPr="00AF1E3F">
        <w:rPr>
          <w:rFonts w:ascii="ambleregular" w:eastAsia="Times New Roman" w:hAnsi="ambleregular" w:cs="Times New Roman"/>
          <w:lang w:eastAsia="de-DE"/>
        </w:rPr>
        <w:t>t</w:t>
      </w:r>
      <w:r w:rsidRPr="00AF1E3F">
        <w:rPr>
          <w:rFonts w:ascii="ambleregular" w:eastAsia="Times New Roman" w:hAnsi="ambleregular" w:cs="Times New Roman"/>
          <w:lang w:eastAsia="de-DE"/>
        </w:rPr>
        <w:t>scheidungen konkret ausverhandelt sind. Ein Betriebsrat muss nicht vom Beginn der Unterrichtung im Sinne des </w:t>
      </w:r>
      <w:hyperlink r:id="rId28" w:history="1">
        <w:r w:rsidRPr="00AF1E3F">
          <w:rPr>
            <w:rFonts w:ascii="ambleregular" w:eastAsia="Times New Roman" w:hAnsi="ambleregular" w:cs="Times New Roman"/>
            <w:lang w:eastAsia="de-DE"/>
          </w:rPr>
          <w:t>§ 111 Abs. 1 S. 1 BetrVG</w:t>
        </w:r>
      </w:hyperlink>
      <w:r w:rsidRPr="00AF1E3F">
        <w:rPr>
          <w:rFonts w:ascii="ambleregular" w:eastAsia="Times New Roman" w:hAnsi="ambleregular" w:cs="Times New Roman"/>
          <w:lang w:eastAsia="de-DE"/>
        </w:rPr>
        <w:t> bis zum Ende von Interessenausgleichsverhandlungen schwe</w:t>
      </w:r>
      <w:r w:rsidRPr="00AF1E3F">
        <w:rPr>
          <w:rFonts w:ascii="ambleregular" w:eastAsia="Times New Roman" w:hAnsi="ambleregular" w:cs="Times New Roman"/>
          <w:lang w:eastAsia="de-DE"/>
        </w:rPr>
        <w:t>i</w:t>
      </w:r>
      <w:r w:rsidRPr="00AF1E3F">
        <w:rPr>
          <w:rFonts w:ascii="ambleregular" w:eastAsia="Times New Roman" w:hAnsi="ambleregular" w:cs="Times New Roman"/>
          <w:lang w:eastAsia="de-DE"/>
        </w:rPr>
        <w:t>gen. Die sachgerechte Wahrnehmung der Mitbestimmungs- und Mitwirkungsrechte ist ohne einen Inform</w:t>
      </w:r>
      <w:r w:rsidRPr="00AF1E3F">
        <w:rPr>
          <w:rFonts w:ascii="ambleregular" w:eastAsia="Times New Roman" w:hAnsi="ambleregular" w:cs="Times New Roman"/>
          <w:lang w:eastAsia="de-DE"/>
        </w:rPr>
        <w:t>a</w:t>
      </w:r>
      <w:r w:rsidRPr="00AF1E3F">
        <w:rPr>
          <w:rFonts w:ascii="ambleregular" w:eastAsia="Times New Roman" w:hAnsi="ambleregular" w:cs="Times New Roman"/>
          <w:lang w:eastAsia="de-DE"/>
        </w:rPr>
        <w:t>tions- und Meinungsaustausch zwischen Betriebsrat und Belegschaft nicht denkbar. Der B</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triebsrat muss daher ab Beginn der Unterrichtung über konkret geplante Betriebsänderungen mit den von ihm vertretenen Arbeitnehmern reden können, erst recht wenn sie betroffen sind ().</w:t>
      </w:r>
    </w:p>
    <w:p w:rsidR="00C23CDE" w:rsidRPr="00AF1E3F" w:rsidRDefault="00563240" w:rsidP="009B761A">
      <w:pPr>
        <w:spacing w:after="0" w:line="240" w:lineRule="auto"/>
        <w:rPr>
          <w:rFonts w:ascii="ambleregular" w:eastAsia="Times New Roman" w:hAnsi="ambleregular" w:cs="Times New Roman"/>
          <w:lang w:eastAsia="de-DE"/>
        </w:rPr>
      </w:pPr>
      <w:bookmarkStart w:id="26" w:name="rd_21"/>
      <w:r w:rsidRPr="00AF1E3F">
        <w:rPr>
          <w:rFonts w:ascii="ambleregular" w:eastAsia="Times New Roman" w:hAnsi="ambleregular" w:cs="Times New Roman"/>
          <w:b/>
          <w:bCs/>
          <w:lang w:eastAsia="de-DE"/>
        </w:rPr>
        <w:t xml:space="preserve"> </w:t>
      </w:r>
      <w:r w:rsidR="00C23CDE" w:rsidRPr="00AF1E3F">
        <w:rPr>
          <w:rFonts w:ascii="ambleregular" w:eastAsia="Times New Roman" w:hAnsi="ambleregular" w:cs="Times New Roman"/>
          <w:b/>
          <w:bCs/>
          <w:lang w:eastAsia="de-DE"/>
        </w:rPr>
        <w:t>21</w:t>
      </w:r>
      <w:bookmarkEnd w:id="26"/>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Danach stellte Information, dass der Arbeitgeber die Produktion der Polyolefin-Linie einstellen und die Abteilungen POE, POK und POR schließen wolle, wodurch 16 Mitarbeiter entlassen werden müssten, kein Betriebs- oder Geschäftsgeheimnis i.S.v. </w:t>
      </w:r>
      <w:hyperlink r:id="rId29" w:history="1">
        <w:r w:rsidRPr="00AF1E3F">
          <w:rPr>
            <w:rFonts w:ascii="ambleregular" w:eastAsia="Times New Roman" w:hAnsi="ambleregular" w:cs="Times New Roman"/>
            <w:lang w:eastAsia="de-DE"/>
          </w:rPr>
          <w:t>§ 79 BetrVG</w:t>
        </w:r>
      </w:hyperlink>
      <w:r w:rsidRPr="00AF1E3F">
        <w:rPr>
          <w:rFonts w:ascii="ambleregular" w:eastAsia="Times New Roman" w:hAnsi="ambleregular" w:cs="Times New Roman"/>
          <w:lang w:eastAsia="de-DE"/>
        </w:rPr>
        <w:t> dar. Der Arbeitgeber leitete mit dieser Information erkennbar das Mitbestimmungsverfahren nach </w:t>
      </w:r>
      <w:hyperlink r:id="rId30" w:history="1">
        <w:r w:rsidRPr="00AF1E3F">
          <w:rPr>
            <w:rFonts w:ascii="ambleregular" w:eastAsia="Times New Roman" w:hAnsi="ambleregular" w:cs="Times New Roman"/>
            <w:lang w:eastAsia="de-DE"/>
          </w:rPr>
          <w:t>§ 111 BetrVG</w:t>
        </w:r>
      </w:hyperlink>
      <w:r w:rsidRPr="00AF1E3F">
        <w:rPr>
          <w:rFonts w:ascii="ambleregular" w:eastAsia="Times New Roman" w:hAnsi="ambleregular" w:cs="Times New Roman"/>
          <w:lang w:eastAsia="de-DE"/>
        </w:rPr>
        <w:t> ein. Jedenfalls von diesem Zeitpunkt an handelte es sich daher nicht (mehr) um ein Betriebs- oder Geschäftsgeheimnis.</w:t>
      </w:r>
    </w:p>
    <w:bookmarkStart w:id="27" w:name="rd_22"/>
    <w:p w:rsidR="00C23CDE" w:rsidRPr="00AF1E3F" w:rsidRDefault="00F0240E" w:rsidP="009B761A">
      <w:pPr>
        <w:spacing w:after="0" w:line="240" w:lineRule="auto"/>
        <w:rPr>
          <w:rFonts w:ascii="ambleregular" w:eastAsia="Times New Roman" w:hAnsi="ambleregular" w:cs="Times New Roman"/>
          <w:lang w:eastAsia="de-DE"/>
        </w:rPr>
      </w:pPr>
      <w:r w:rsidRPr="00AF1E3F">
        <w:fldChar w:fldCharType="begin"/>
      </w:r>
      <w:r w:rsidRPr="00AF1E3F">
        <w:instrText xml:space="preserve"> HYPERLINK "https://www.juris.de/r3/?docId=JURE170028397&amp;docFormat=xsl&amp;docPart=L" </w:instrText>
      </w:r>
      <w:r w:rsidRPr="00AF1E3F">
        <w:fldChar w:fldCharType="separate"/>
      </w:r>
      <w:r w:rsidR="00C23CDE" w:rsidRPr="00AF1E3F">
        <w:rPr>
          <w:rFonts w:ascii="ambleregular" w:eastAsia="Times New Roman" w:hAnsi="ambleregular" w:cs="Times New Roman"/>
          <w:b/>
          <w:bCs/>
          <w:lang w:eastAsia="de-DE"/>
        </w:rPr>
        <w:t>22</w:t>
      </w:r>
      <w:r w:rsidRPr="00AF1E3F">
        <w:rPr>
          <w:rFonts w:ascii="ambleregular" w:eastAsia="Times New Roman" w:hAnsi="ambleregular" w:cs="Times New Roman"/>
          <w:b/>
          <w:bCs/>
          <w:lang w:eastAsia="de-DE"/>
        </w:rPr>
        <w:fldChar w:fldCharType="end"/>
      </w:r>
      <w:bookmarkEnd w:id="27"/>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Der Beteiligte zu 2 war nicht gehalten, das in </w:t>
      </w:r>
      <w:hyperlink r:id="rId31" w:history="1">
        <w:r w:rsidRPr="00AF1E3F">
          <w:rPr>
            <w:rFonts w:ascii="ambleregular" w:eastAsia="Times New Roman" w:hAnsi="ambleregular" w:cs="Times New Roman"/>
            <w:lang w:eastAsia="de-DE"/>
          </w:rPr>
          <w:t>§ 31 BetrVG</w:t>
        </w:r>
      </w:hyperlink>
      <w:r w:rsidRPr="00AF1E3F">
        <w:rPr>
          <w:rFonts w:ascii="ambleregular" w:eastAsia="Times New Roman" w:hAnsi="ambleregular" w:cs="Times New Roman"/>
          <w:lang w:eastAsia="de-DE"/>
        </w:rPr>
        <w:t> vorgesehene Verfahren auf Teilnahme eines Gewerkschaftsvertreters an den Betriebsratssitzungen einzuhalten. Der Beteiligte zu 2 war b</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rechtigt, sich auf die bevorstehende Betriebsratssitzung angemessen vorzubereiten, wozu auch die Einholung von Rechtsrat der Gewerkschaft gehörte. Umfang und Art der Vorbereitung des Betrieb</w:t>
      </w:r>
      <w:r w:rsidRPr="00AF1E3F">
        <w:rPr>
          <w:rFonts w:ascii="ambleregular" w:eastAsia="Times New Roman" w:hAnsi="ambleregular" w:cs="Times New Roman"/>
          <w:lang w:eastAsia="de-DE"/>
        </w:rPr>
        <w:t>s</w:t>
      </w:r>
      <w:r w:rsidRPr="00AF1E3F">
        <w:rPr>
          <w:rFonts w:ascii="ambleregular" w:eastAsia="Times New Roman" w:hAnsi="ambleregular" w:cs="Times New Roman"/>
          <w:lang w:eastAsia="de-DE"/>
        </w:rPr>
        <w:t>ratsmitglieds auf eine Sitzung sind eine Frage des Einzelfalles und liegen im pflichtgemäßen Ermessen des jeweiligen Betriebsratsmitglieds. Während ein Betriebsratsmitglied Literatur und Rechtsprechung recherchiert, fragt ein anderes eher bei der Gewerkschaft um eine Einschätzung der Handlungsmö</w:t>
      </w:r>
      <w:r w:rsidRPr="00AF1E3F">
        <w:rPr>
          <w:rFonts w:ascii="ambleregular" w:eastAsia="Times New Roman" w:hAnsi="ambleregular" w:cs="Times New Roman"/>
          <w:lang w:eastAsia="de-DE"/>
        </w:rPr>
        <w:t>g</w:t>
      </w:r>
      <w:r w:rsidRPr="00AF1E3F">
        <w:rPr>
          <w:rFonts w:ascii="ambleregular" w:eastAsia="Times New Roman" w:hAnsi="ambleregular" w:cs="Times New Roman"/>
          <w:lang w:eastAsia="de-DE"/>
        </w:rPr>
        <w:t>lichkeiten des Betriebsrats nach. Beides ist möglich. Aufgrund der Information des Arbeitgebers über die bevorstehende Betriebsänderung, die Gegenstand der Betriebsratssitzung vom 8. April 2016 sein sollte, oblag es jedem Betriebsratsmitglied, sich auf diese Sitzung vorzubereiten. Dies erforderte die gewissenhafte Wahrnehmung des Betriebsratsamts. Aus diesem Grund konnten weder der Arbeitg</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ber, noch die Mehrheit innerhalb des Betriebsrats einem einzelnen Betriebsratsmitglied die Einholung von Rechtsrat seitens der Gewerkschaft untersagen. Dem Beteiligten zu 2 ging es darum, wie er im Anhörungstermin vor der Beschwerdekammer ausgeführt hat, von der Gewerkschaft zu erfahren, ob bzw. was gegen die geplante Maßnahme des Arbeitgebers unternommen werden könne. Dass er g</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genüber dem Betriebsratsmitglied A nur allgemein davon gesprochen hat, man müsse die Gewer</w:t>
      </w:r>
      <w:r w:rsidRPr="00AF1E3F">
        <w:rPr>
          <w:rFonts w:ascii="ambleregular" w:eastAsia="Times New Roman" w:hAnsi="ambleregular" w:cs="Times New Roman"/>
          <w:lang w:eastAsia="de-DE"/>
        </w:rPr>
        <w:t>k</w:t>
      </w:r>
      <w:r w:rsidRPr="00AF1E3F">
        <w:rPr>
          <w:rFonts w:ascii="ambleregular" w:eastAsia="Times New Roman" w:hAnsi="ambleregular" w:cs="Times New Roman"/>
          <w:lang w:eastAsia="de-DE"/>
        </w:rPr>
        <w:t xml:space="preserve">schaft "informieren" ist unerheblich. Deshalb bedurfte es auch keiner wiederholten Vernehmung des Zeugen A. Es kann vielmehr unterstellt werden, dass er seine Absicht, Rechtsrat bei der Gewerkschaft einzuholen, nicht gegenüber dem Zeugen A geäußert hat. Entscheidend ist, dass ausweislich seiner </w:t>
      </w:r>
      <w:r w:rsidRPr="00AF1E3F">
        <w:rPr>
          <w:rFonts w:ascii="ambleregular" w:eastAsia="Times New Roman" w:hAnsi="ambleregular" w:cs="Times New Roman"/>
          <w:lang w:eastAsia="de-DE"/>
        </w:rPr>
        <w:lastRenderedPageBreak/>
        <w:t>Darstellung im Termin vor dem Landesarbeitsgericht maßgebliches Motiv für sein Handeln die ve</w:t>
      </w:r>
      <w:r w:rsidRPr="00AF1E3F">
        <w:rPr>
          <w:rFonts w:ascii="ambleregular" w:eastAsia="Times New Roman" w:hAnsi="ambleregular" w:cs="Times New Roman"/>
          <w:lang w:eastAsia="de-DE"/>
        </w:rPr>
        <w:t>r</w:t>
      </w:r>
      <w:r w:rsidRPr="00AF1E3F">
        <w:rPr>
          <w:rFonts w:ascii="ambleregular" w:eastAsia="Times New Roman" w:hAnsi="ambleregular" w:cs="Times New Roman"/>
          <w:lang w:eastAsia="de-DE"/>
        </w:rPr>
        <w:t>antwortungsbewusste Wahrnehmung der ihm als Betriebsratsmitglied obliegenden Aufgaben war. In diesen Rahmen hat sich auch seine Anfrage gegenüber der Gewerkschaft, wie sich aus der ihm ertei</w:t>
      </w:r>
      <w:r w:rsidRPr="00AF1E3F">
        <w:rPr>
          <w:rFonts w:ascii="ambleregular" w:eastAsia="Times New Roman" w:hAnsi="ambleregular" w:cs="Times New Roman"/>
          <w:lang w:eastAsia="de-DE"/>
        </w:rPr>
        <w:t>l</w:t>
      </w:r>
      <w:r w:rsidRPr="00AF1E3F">
        <w:rPr>
          <w:rFonts w:ascii="ambleregular" w:eastAsia="Times New Roman" w:hAnsi="ambleregular" w:cs="Times New Roman"/>
          <w:lang w:eastAsia="de-DE"/>
        </w:rPr>
        <w:t>ten Auskunft des Gewerkschaftssekretärs ergibt, gehalten. Jedenfalls hat der Rechtssekretär der G</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werkschaft den Beteiligten zu 2 dahingehend verstanden, dieser wolle eine Rechtsauskunft über Han</w:t>
      </w:r>
      <w:r w:rsidRPr="00AF1E3F">
        <w:rPr>
          <w:rFonts w:ascii="ambleregular" w:eastAsia="Times New Roman" w:hAnsi="ambleregular" w:cs="Times New Roman"/>
          <w:lang w:eastAsia="de-DE"/>
        </w:rPr>
        <w:t>d</w:t>
      </w:r>
      <w:r w:rsidRPr="00AF1E3F">
        <w:rPr>
          <w:rFonts w:ascii="ambleregular" w:eastAsia="Times New Roman" w:hAnsi="ambleregular" w:cs="Times New Roman"/>
          <w:lang w:eastAsia="de-DE"/>
        </w:rPr>
        <w:t>lungsmöglichkeiten des Betriebsrats hinsichtlich der bevorstehenden Maßnahme des Arbeitgebers, denn diese Frage hat er dem Beteiligten zu 2 beantwortet. Der Gewerkschaftssekretär hat auch nach dem Vortrag des Arbeitgebers sowie des Betriebsrats weder die Öffentlichkeit informiert noch sonst</w:t>
      </w:r>
      <w:r w:rsidRPr="00AF1E3F">
        <w:rPr>
          <w:rFonts w:ascii="ambleregular" w:eastAsia="Times New Roman" w:hAnsi="ambleregular" w:cs="Times New Roman"/>
          <w:lang w:eastAsia="de-DE"/>
        </w:rPr>
        <w:t>i</w:t>
      </w:r>
      <w:r w:rsidRPr="00AF1E3F">
        <w:rPr>
          <w:rFonts w:ascii="ambleregular" w:eastAsia="Times New Roman" w:hAnsi="ambleregular" w:cs="Times New Roman"/>
          <w:lang w:eastAsia="de-DE"/>
        </w:rPr>
        <w:t>ge Maßnahmen mit Außenwirkung veranlasst. Dies zeigt, dass das Verhalten des Beteiligten zu 2 in keiner Weise das Interesse des Arbeitgebers und des Betriebsrats als Gremium, Unruhe im Betrieb über die bevorstehende Maßnahme zu vermeiden, beeinträchtigt hat.</w:t>
      </w:r>
    </w:p>
    <w:p w:rsidR="00C23CDE" w:rsidRPr="00AF1E3F" w:rsidRDefault="00C23CDE" w:rsidP="009B761A">
      <w:pPr>
        <w:spacing w:after="0" w:line="240" w:lineRule="auto"/>
        <w:rPr>
          <w:rFonts w:ascii="ambleregular" w:eastAsia="Times New Roman" w:hAnsi="ambleregular" w:cs="Times New Roman"/>
          <w:lang w:eastAsia="de-DE"/>
        </w:rPr>
      </w:pPr>
      <w:bookmarkStart w:id="28" w:name="rd_23"/>
      <w:r w:rsidRPr="00AF1E3F">
        <w:rPr>
          <w:rFonts w:ascii="ambleregular" w:eastAsia="Times New Roman" w:hAnsi="ambleregular" w:cs="Times New Roman"/>
          <w:b/>
          <w:bCs/>
          <w:lang w:eastAsia="de-DE"/>
        </w:rPr>
        <w:t>23</w:t>
      </w:r>
      <w:bookmarkEnd w:id="28"/>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Selbst wenn man von einer Verletzung der Geheimhaltungspflicht seitens des Beteiligten zu 2 ausg</w:t>
      </w:r>
      <w:r w:rsidRPr="00AF1E3F">
        <w:rPr>
          <w:rFonts w:ascii="ambleregular" w:eastAsia="Times New Roman" w:hAnsi="ambleregular" w:cs="Times New Roman"/>
          <w:lang w:eastAsia="de-DE"/>
        </w:rPr>
        <w:t>e</w:t>
      </w:r>
      <w:r w:rsidRPr="00AF1E3F">
        <w:rPr>
          <w:rFonts w:ascii="ambleregular" w:eastAsia="Times New Roman" w:hAnsi="ambleregular" w:cs="Times New Roman"/>
          <w:lang w:eastAsia="de-DE"/>
        </w:rPr>
        <w:t>hen wollte, läge jedenfalls kein grober Verstoß vor. Der Beteiligte zu 2 handelte wie ausgeführt in verantwortungsbewusster Wahrnehmung seines Betriebsratsamts. Er hat sich an die Gewerkschaft gewandt, um zur Vorbereitung auf die bevorstehende Betriebsratssitzung Informationen über die Handlungsmöglichkeiten des Betriebsrats in einer konkreten, aktuell anstehenden Angelegenheit zu erhalten. Es ging ihm gerade nicht um eine Information der Öffentlichkeit oder der Belegschaft, etwa um politischen Druck auf den Arbeitgeber oder die Betriebsratsmehrheit aufzubauen. Sein Verhalten hatte auch keine nachteiligen Auswirkungen auf die Funktionsfähigkeit des Betriebsrats. Jedenfalls zeigt dieser solche nicht im Einzelnen auf.</w:t>
      </w:r>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III.</w:t>
      </w:r>
    </w:p>
    <w:p w:rsidR="00C23CDE" w:rsidRPr="00AF1E3F" w:rsidRDefault="00C23CDE" w:rsidP="009B761A">
      <w:pPr>
        <w:spacing w:after="0" w:line="240" w:lineRule="auto"/>
        <w:rPr>
          <w:rFonts w:ascii="ambleregular" w:eastAsia="Times New Roman" w:hAnsi="ambleregular" w:cs="Times New Roman"/>
          <w:lang w:eastAsia="de-DE"/>
        </w:rPr>
      </w:pPr>
      <w:bookmarkStart w:id="29" w:name="rd_24"/>
      <w:r w:rsidRPr="00AF1E3F">
        <w:rPr>
          <w:rFonts w:ascii="ambleregular" w:eastAsia="Times New Roman" w:hAnsi="ambleregular" w:cs="Times New Roman"/>
          <w:b/>
          <w:bCs/>
          <w:lang w:eastAsia="de-DE"/>
        </w:rPr>
        <w:t>24</w:t>
      </w:r>
      <w:bookmarkEnd w:id="29"/>
    </w:p>
    <w:p w:rsidR="00C23CDE" w:rsidRPr="00AF1E3F" w:rsidRDefault="00C23CDE" w:rsidP="009B761A">
      <w:pPr>
        <w:spacing w:after="0" w:line="240" w:lineRule="auto"/>
        <w:jc w:val="both"/>
        <w:rPr>
          <w:rFonts w:ascii="ambleregular" w:eastAsia="Times New Roman" w:hAnsi="ambleregular" w:cs="Times New Roman"/>
          <w:lang w:eastAsia="de-DE"/>
        </w:rPr>
      </w:pPr>
      <w:r w:rsidRPr="00AF1E3F">
        <w:rPr>
          <w:rFonts w:ascii="ambleregular" w:eastAsia="Times New Roman" w:hAnsi="ambleregular" w:cs="Times New Roman"/>
          <w:lang w:eastAsia="de-DE"/>
        </w:rPr>
        <w:t>Gründe, die Rechtsbeschwerde zuzulassen, liegen nicht vor, </w:t>
      </w:r>
      <w:hyperlink r:id="rId32" w:history="1">
        <w:r w:rsidRPr="00AF1E3F">
          <w:rPr>
            <w:rFonts w:ascii="ambleregular" w:eastAsia="Times New Roman" w:hAnsi="ambleregular" w:cs="Times New Roman"/>
            <w:lang w:eastAsia="de-DE"/>
          </w:rPr>
          <w:t>§ 92 </w:t>
        </w:r>
      </w:hyperlink>
      <w:r w:rsidRPr="00AF1E3F">
        <w:rPr>
          <w:rFonts w:ascii="ambleregular" w:eastAsia="Times New Roman" w:hAnsi="ambleregular" w:cs="Times New Roman"/>
          <w:lang w:eastAsia="de-DE"/>
        </w:rPr>
        <w:t>Abs. 1, </w:t>
      </w:r>
      <w:hyperlink r:id="rId33" w:history="1">
        <w:r w:rsidRPr="00AF1E3F">
          <w:rPr>
            <w:rFonts w:ascii="ambleregular" w:eastAsia="Times New Roman" w:hAnsi="ambleregular" w:cs="Times New Roman"/>
            <w:lang w:eastAsia="de-DE"/>
          </w:rPr>
          <w:t>§ 72 ArbGG</w:t>
        </w:r>
      </w:hyperlink>
      <w:r w:rsidRPr="00AF1E3F">
        <w:rPr>
          <w:rFonts w:ascii="ambleregular" w:eastAsia="Times New Roman" w:hAnsi="ambleregular" w:cs="Times New Roman"/>
          <w:lang w:eastAsia="de-DE"/>
        </w:rPr>
        <w:t>.</w:t>
      </w:r>
    </w:p>
    <w:sectPr w:rsidR="00C23CDE" w:rsidRPr="00AF1E3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4F" w:rsidRDefault="00B2074F" w:rsidP="00563240">
      <w:pPr>
        <w:spacing w:after="0" w:line="240" w:lineRule="auto"/>
      </w:pPr>
      <w:r>
        <w:separator/>
      </w:r>
    </w:p>
  </w:endnote>
  <w:endnote w:type="continuationSeparator" w:id="0">
    <w:p w:rsidR="00B2074F" w:rsidRDefault="00B2074F" w:rsidP="0056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ble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4F" w:rsidRDefault="00B2074F" w:rsidP="00563240">
      <w:pPr>
        <w:spacing w:after="0" w:line="240" w:lineRule="auto"/>
      </w:pPr>
      <w:r>
        <w:separator/>
      </w:r>
    </w:p>
  </w:footnote>
  <w:footnote w:type="continuationSeparator" w:id="0">
    <w:p w:rsidR="00B2074F" w:rsidRDefault="00B2074F" w:rsidP="00563240">
      <w:pPr>
        <w:spacing w:after="0" w:line="240" w:lineRule="auto"/>
      </w:pPr>
      <w:r>
        <w:continuationSeparator/>
      </w:r>
    </w:p>
  </w:footnote>
  <w:footnote w:id="1">
    <w:p w:rsidR="00D03511" w:rsidRPr="00563240" w:rsidRDefault="00D03511" w:rsidP="00D03511">
      <w:pPr>
        <w:pStyle w:val="Funotentext"/>
        <w:rPr>
          <w:b/>
          <w:sz w:val="16"/>
          <w:szCs w:val="16"/>
        </w:rPr>
      </w:pPr>
      <w:r w:rsidRPr="00563240">
        <w:rPr>
          <w:rStyle w:val="Funotenzeichen"/>
          <w:b/>
          <w:sz w:val="16"/>
          <w:szCs w:val="16"/>
        </w:rPr>
        <w:footnoteRef/>
      </w:r>
      <w:r w:rsidRPr="00563240">
        <w:rPr>
          <w:b/>
          <w:sz w:val="16"/>
          <w:szCs w:val="16"/>
        </w:rPr>
        <w:t xml:space="preserve"> § 79 Betriebsverfassungsgesetz Geheimhaltungspflicht</w:t>
      </w:r>
    </w:p>
    <w:p w:rsidR="00D03511" w:rsidRDefault="00D03511" w:rsidP="00D03511">
      <w:pPr>
        <w:pStyle w:val="Funotentext"/>
        <w:rPr>
          <w:sz w:val="16"/>
          <w:szCs w:val="16"/>
        </w:rPr>
      </w:pPr>
      <w:r w:rsidRPr="00563240">
        <w:rPr>
          <w:sz w:val="16"/>
          <w:szCs w:val="16"/>
        </w:rPr>
        <w:t>1Die Mitglieder und Ersatzmitglieder des Betriebsrats sind verpflichtet, Betriebs- oder Geschäftsgeheimnisse, die ihnen wegen ihrer Zug</w:t>
      </w:r>
      <w:r w:rsidRPr="00563240">
        <w:rPr>
          <w:sz w:val="16"/>
          <w:szCs w:val="16"/>
        </w:rPr>
        <w:t>e</w:t>
      </w:r>
      <w:r w:rsidRPr="00563240">
        <w:rPr>
          <w:sz w:val="16"/>
          <w:szCs w:val="16"/>
        </w:rPr>
        <w:t>hörigkeit zum Betriebsrat bekannt geworden und vom Arbeitgeber ausdrücklich als geheimhaltungsbedürftig bezeichnet worden sind, nicht zu offenbaren und nicht zu verwerten. 2Dies gilt auch nach dem Ausscheiden aus dem Betriebsrat. 3Die Verpflichtung gilt nicht gegenüber Mitgliedern des Betriebsrats. 4Sie gilt ferner nicht gegenüber dem Gesamtbetriebsrat, dem Konzernbetriebsrat, der Bordvertretung, dem Seebetriebsrat und den Arbeitnehmervertretern im Aufsichtsrat sowie im Verfahren vor der Einigungsstelle, der tariflichen Schlichtung</w:t>
      </w:r>
      <w:r w:rsidRPr="00563240">
        <w:rPr>
          <w:sz w:val="16"/>
          <w:szCs w:val="16"/>
        </w:rPr>
        <w:t>s</w:t>
      </w:r>
      <w:r w:rsidRPr="00563240">
        <w:rPr>
          <w:sz w:val="16"/>
          <w:szCs w:val="16"/>
        </w:rPr>
        <w:t>stelle (§ 76 Abs. 8) oder einer betrieblichen Beschwerdestelle (§ 86).</w:t>
      </w:r>
    </w:p>
    <w:p w:rsidR="00D03511" w:rsidRPr="00563240" w:rsidRDefault="00D03511" w:rsidP="00D03511">
      <w:pPr>
        <w:pStyle w:val="Funotentext"/>
        <w:rPr>
          <w:b/>
          <w:sz w:val="16"/>
          <w:szCs w:val="16"/>
        </w:rPr>
      </w:pPr>
      <w:r w:rsidRPr="00563240">
        <w:rPr>
          <w:b/>
          <w:sz w:val="16"/>
          <w:szCs w:val="16"/>
        </w:rPr>
        <w:t>§ 31 Betriebsverfassungsgesetz</w:t>
      </w:r>
      <w:r>
        <w:rPr>
          <w:b/>
          <w:sz w:val="16"/>
          <w:szCs w:val="16"/>
        </w:rPr>
        <w:t xml:space="preserve"> </w:t>
      </w:r>
      <w:r w:rsidRPr="00563240">
        <w:rPr>
          <w:b/>
          <w:sz w:val="16"/>
          <w:szCs w:val="16"/>
        </w:rPr>
        <w:t>Teilnahme der Gewerkschaften</w:t>
      </w:r>
    </w:p>
    <w:p w:rsidR="00D03511" w:rsidRDefault="00D03511" w:rsidP="00D03511">
      <w:pPr>
        <w:pStyle w:val="Funotentext"/>
        <w:rPr>
          <w:sz w:val="16"/>
          <w:szCs w:val="16"/>
        </w:rPr>
      </w:pPr>
      <w:r w:rsidRPr="00563240">
        <w:rPr>
          <w:sz w:val="16"/>
          <w:szCs w:val="16"/>
        </w:rPr>
        <w:t>Auf Antrag von einem Viertel der Mitglieder des Betriebsrats kann ein Beauftragter einer im Betriebsrat vertretenen Gewerkschaft an den Sitzungen beratend teilnehmen; in diesem Fall sind der Zeitpunkt der Sitzung und die Tagesordnung der Gewerkschaft rechtzeitig mitzute</w:t>
      </w:r>
      <w:r w:rsidRPr="00563240">
        <w:rPr>
          <w:sz w:val="16"/>
          <w:szCs w:val="16"/>
        </w:rPr>
        <w:t>i</w:t>
      </w:r>
      <w:r w:rsidRPr="00563240">
        <w:rPr>
          <w:sz w:val="16"/>
          <w:szCs w:val="16"/>
        </w:rPr>
        <w:t>len.</w:t>
      </w:r>
    </w:p>
    <w:p w:rsidR="00D03511" w:rsidRPr="00563240" w:rsidRDefault="00D03511" w:rsidP="00D03511">
      <w:pPr>
        <w:pStyle w:val="Funotentext"/>
        <w:rPr>
          <w:b/>
          <w:sz w:val="16"/>
          <w:szCs w:val="16"/>
        </w:rPr>
      </w:pPr>
      <w:r w:rsidRPr="00563240">
        <w:rPr>
          <w:b/>
          <w:sz w:val="16"/>
          <w:szCs w:val="16"/>
        </w:rPr>
        <w:t>§ 23 Betriebsverfassungsgesetz Verletzung gesetzlicher Pflichten</w:t>
      </w:r>
    </w:p>
    <w:p w:rsidR="00D03511" w:rsidRPr="00563240" w:rsidRDefault="00D03511" w:rsidP="00D03511">
      <w:pPr>
        <w:pStyle w:val="Funotentext"/>
        <w:rPr>
          <w:sz w:val="16"/>
          <w:szCs w:val="16"/>
        </w:rPr>
      </w:pPr>
      <w:r w:rsidRPr="00563240">
        <w:rPr>
          <w:sz w:val="16"/>
          <w:szCs w:val="16"/>
        </w:rPr>
        <w:t xml:space="preserve">(1) 1Mindestens ein Viertel der </w:t>
      </w:r>
      <w:proofErr w:type="spellStart"/>
      <w:r w:rsidRPr="00563240">
        <w:rPr>
          <w:sz w:val="16"/>
          <w:szCs w:val="16"/>
        </w:rPr>
        <w:t>wahlberechtigten</w:t>
      </w:r>
      <w:proofErr w:type="spellEnd"/>
      <w:r w:rsidRPr="00563240">
        <w:rPr>
          <w:sz w:val="16"/>
          <w:szCs w:val="16"/>
        </w:rPr>
        <w:t xml:space="preserve"> Arbeitnehmer, der Arbeitgeber oder eine im Betrieb vertretene Gewerkschaft können beim Arbeitsgericht den Ausschluss eines Mitglieds aus dem Betriebsrat oder die Auflösung des Betriebsrats wegen grober Verletzung seiner gesetzlichen Pflichten beantragen. 2Der Ausschluss eines Mitglieds kann auch vom Betriebsrat beantragt werden.</w:t>
      </w:r>
    </w:p>
    <w:p w:rsidR="00D03511" w:rsidRPr="00AF1E3F" w:rsidRDefault="00D03511" w:rsidP="00D03511">
      <w:pPr>
        <w:pStyle w:val="Funotentext"/>
        <w:rPr>
          <w:b/>
          <w:sz w:val="16"/>
          <w:szCs w:val="16"/>
        </w:rPr>
      </w:pPr>
      <w:r w:rsidRPr="00AF1E3F">
        <w:rPr>
          <w:b/>
          <w:sz w:val="16"/>
          <w:szCs w:val="16"/>
        </w:rPr>
        <w:t>§ 111 Betriebsverfassungsgesetz Betriebsänderungen</w:t>
      </w:r>
    </w:p>
    <w:p w:rsidR="00D03511" w:rsidRPr="00563240" w:rsidRDefault="00D03511" w:rsidP="00D03511">
      <w:pPr>
        <w:pStyle w:val="Funotentext"/>
        <w:rPr>
          <w:sz w:val="16"/>
          <w:szCs w:val="16"/>
        </w:rPr>
      </w:pPr>
      <w:r w:rsidRPr="00563240">
        <w:rPr>
          <w:sz w:val="16"/>
          <w:szCs w:val="16"/>
        </w:rPr>
        <w:t>1In Unternehmen mit in der Regel mehr als zwanzig wahlberechtigten Arbeitnehmern hat der Unternehmer den Betriebsrat über geplante Betriebsänderungen, die wesentliche Nachteile für die Belegschaft oder erhebliche Teile der Belegschaft zur Folge haben können, rechtze</w:t>
      </w:r>
      <w:r w:rsidRPr="00563240">
        <w:rPr>
          <w:sz w:val="16"/>
          <w:szCs w:val="16"/>
        </w:rPr>
        <w:t>i</w:t>
      </w:r>
      <w:r w:rsidRPr="00563240">
        <w:rPr>
          <w:sz w:val="16"/>
          <w:szCs w:val="16"/>
        </w:rPr>
        <w:t>tig und umfassend zu unterrichten und die geplanten Betriebsänderungen mit dem Betriebsrat zu beraten. 2Der Betriebsrat kann in Unte</w:t>
      </w:r>
      <w:r w:rsidRPr="00563240">
        <w:rPr>
          <w:sz w:val="16"/>
          <w:szCs w:val="16"/>
        </w:rPr>
        <w:t>r</w:t>
      </w:r>
      <w:r w:rsidRPr="00563240">
        <w:rPr>
          <w:sz w:val="16"/>
          <w:szCs w:val="16"/>
        </w:rPr>
        <w:t>nehmen mit mehr als 300 Arbeitnehmern zu seiner Unterstützung einen Berater hinzuziehen; § 80 Abs. 4 gilt entsprechend; im Übrigen bleibt § 80 Abs. 3 unberührt. 3Als Betriebsänderungen im Sinne des Satzes 1 gelten</w:t>
      </w:r>
    </w:p>
    <w:p w:rsidR="00D03511" w:rsidRPr="00563240" w:rsidRDefault="00D03511" w:rsidP="00D03511">
      <w:pPr>
        <w:pStyle w:val="Funotentext"/>
        <w:rPr>
          <w:sz w:val="16"/>
          <w:szCs w:val="16"/>
        </w:rPr>
      </w:pPr>
      <w:r>
        <w:rPr>
          <w:sz w:val="16"/>
          <w:szCs w:val="16"/>
        </w:rPr>
        <w:t xml:space="preserve">1. </w:t>
      </w:r>
      <w:r w:rsidRPr="00563240">
        <w:rPr>
          <w:sz w:val="16"/>
          <w:szCs w:val="16"/>
        </w:rPr>
        <w:t xml:space="preserve">Einschränkung und </w:t>
      </w:r>
      <w:proofErr w:type="spellStart"/>
      <w:r w:rsidRPr="00563240">
        <w:rPr>
          <w:sz w:val="16"/>
          <w:szCs w:val="16"/>
        </w:rPr>
        <w:t>Stillegung</w:t>
      </w:r>
      <w:proofErr w:type="spellEnd"/>
      <w:r w:rsidRPr="00563240">
        <w:rPr>
          <w:sz w:val="16"/>
          <w:szCs w:val="16"/>
        </w:rPr>
        <w:t xml:space="preserve"> des ganzen Betriebs oder von wesentlichen Betriebsteilen,</w:t>
      </w:r>
    </w:p>
    <w:p w:rsidR="00D03511" w:rsidRPr="00563240" w:rsidRDefault="00D03511" w:rsidP="00D03511">
      <w:pPr>
        <w:pStyle w:val="Funotentext"/>
        <w:rPr>
          <w:sz w:val="16"/>
          <w:szCs w:val="16"/>
        </w:rPr>
      </w:pPr>
      <w:r w:rsidRPr="00563240">
        <w:rPr>
          <w:sz w:val="16"/>
          <w:szCs w:val="16"/>
        </w:rPr>
        <w:t>2.</w:t>
      </w:r>
      <w:r>
        <w:rPr>
          <w:sz w:val="16"/>
          <w:szCs w:val="16"/>
        </w:rPr>
        <w:t xml:space="preserve"> </w:t>
      </w:r>
      <w:r w:rsidRPr="00563240">
        <w:rPr>
          <w:sz w:val="16"/>
          <w:szCs w:val="16"/>
        </w:rPr>
        <w:t>Verlegung des ganzen Betriebs oder von wesentlichen Betriebsteilen,</w:t>
      </w:r>
    </w:p>
    <w:p w:rsidR="00D03511" w:rsidRPr="00563240" w:rsidRDefault="00D03511" w:rsidP="00D03511">
      <w:pPr>
        <w:pStyle w:val="Funotentext"/>
        <w:rPr>
          <w:sz w:val="16"/>
          <w:szCs w:val="16"/>
        </w:rPr>
      </w:pPr>
      <w:r w:rsidRPr="00563240">
        <w:rPr>
          <w:sz w:val="16"/>
          <w:szCs w:val="16"/>
        </w:rPr>
        <w:t>3.</w:t>
      </w:r>
      <w:r>
        <w:rPr>
          <w:sz w:val="16"/>
          <w:szCs w:val="16"/>
        </w:rPr>
        <w:t xml:space="preserve"> </w:t>
      </w:r>
      <w:r w:rsidRPr="00563240">
        <w:rPr>
          <w:sz w:val="16"/>
          <w:szCs w:val="16"/>
        </w:rPr>
        <w:t>Zusammenschluss mit anderen Betrieben oder die Spaltung von Betrieben,</w:t>
      </w:r>
    </w:p>
    <w:p w:rsidR="00D03511" w:rsidRPr="00563240" w:rsidRDefault="00D03511" w:rsidP="00D03511">
      <w:pPr>
        <w:pStyle w:val="Funotentext"/>
        <w:rPr>
          <w:sz w:val="16"/>
          <w:szCs w:val="16"/>
        </w:rPr>
      </w:pPr>
      <w:r w:rsidRPr="00563240">
        <w:rPr>
          <w:sz w:val="16"/>
          <w:szCs w:val="16"/>
        </w:rPr>
        <w:t>4.</w:t>
      </w:r>
      <w:r>
        <w:rPr>
          <w:sz w:val="16"/>
          <w:szCs w:val="16"/>
        </w:rPr>
        <w:t xml:space="preserve"> </w:t>
      </w:r>
      <w:r w:rsidRPr="00563240">
        <w:rPr>
          <w:sz w:val="16"/>
          <w:szCs w:val="16"/>
        </w:rPr>
        <w:t>grundlegende Änderungen der Betriebsorganisation, des Betriebszwecks oder der Betriebsanlagen,</w:t>
      </w:r>
    </w:p>
    <w:p w:rsidR="00D03511" w:rsidRPr="00563240" w:rsidRDefault="00D03511" w:rsidP="00D03511">
      <w:pPr>
        <w:pStyle w:val="Funotentext"/>
        <w:rPr>
          <w:sz w:val="16"/>
          <w:szCs w:val="16"/>
        </w:rPr>
      </w:pPr>
      <w:r w:rsidRPr="00563240">
        <w:rPr>
          <w:sz w:val="16"/>
          <w:szCs w:val="16"/>
        </w:rPr>
        <w:t>5.</w:t>
      </w:r>
      <w:r>
        <w:rPr>
          <w:sz w:val="16"/>
          <w:szCs w:val="16"/>
        </w:rPr>
        <w:t xml:space="preserve"> </w:t>
      </w:r>
      <w:r w:rsidRPr="00563240">
        <w:rPr>
          <w:sz w:val="16"/>
          <w:szCs w:val="16"/>
        </w:rPr>
        <w:t>Einführung grundlegend neuer Arbeitsmethoden und Fertigungsverfahren.</w:t>
      </w:r>
    </w:p>
  </w:footnote>
  <w:footnote w:id="2">
    <w:p w:rsidR="00C845E6" w:rsidRPr="00C845E6" w:rsidRDefault="00C845E6" w:rsidP="00C845E6">
      <w:pPr>
        <w:pStyle w:val="Funotentext"/>
        <w:rPr>
          <w:b/>
          <w:sz w:val="16"/>
          <w:szCs w:val="16"/>
        </w:rPr>
      </w:pPr>
      <w:r w:rsidRPr="00C845E6">
        <w:rPr>
          <w:rStyle w:val="Funotenzeichen"/>
          <w:b/>
          <w:sz w:val="16"/>
          <w:szCs w:val="16"/>
        </w:rPr>
        <w:footnoteRef/>
      </w:r>
      <w:r w:rsidRPr="00C845E6">
        <w:rPr>
          <w:b/>
          <w:sz w:val="16"/>
          <w:szCs w:val="16"/>
        </w:rPr>
        <w:t xml:space="preserve"> </w:t>
      </w:r>
      <w:r w:rsidRPr="00C845E6">
        <w:rPr>
          <w:b/>
          <w:sz w:val="16"/>
          <w:szCs w:val="16"/>
        </w:rPr>
        <w:t>§ 31 Betriebsverfassungsgesetz</w:t>
      </w:r>
      <w:r w:rsidRPr="00C845E6">
        <w:rPr>
          <w:b/>
          <w:sz w:val="16"/>
          <w:szCs w:val="16"/>
        </w:rPr>
        <w:t xml:space="preserve"> </w:t>
      </w:r>
      <w:r w:rsidRPr="00C845E6">
        <w:rPr>
          <w:b/>
          <w:sz w:val="16"/>
          <w:szCs w:val="16"/>
        </w:rPr>
        <w:t>Teilnahme der Gewerkschaften</w:t>
      </w:r>
    </w:p>
    <w:p w:rsidR="00C845E6" w:rsidRPr="00C845E6" w:rsidRDefault="00C845E6" w:rsidP="00C845E6">
      <w:pPr>
        <w:pStyle w:val="Funotentext"/>
        <w:rPr>
          <w:sz w:val="16"/>
          <w:szCs w:val="16"/>
        </w:rPr>
      </w:pPr>
      <w:r w:rsidRPr="00C845E6">
        <w:rPr>
          <w:sz w:val="16"/>
          <w:szCs w:val="16"/>
        </w:rPr>
        <w:t>Auf Antrag von einem Viertel der Mitglieder des Betriebsrats kann ein Beauftragter einer im Betriebsrat vertr</w:t>
      </w:r>
      <w:r w:rsidRPr="00C845E6">
        <w:rPr>
          <w:sz w:val="16"/>
          <w:szCs w:val="16"/>
        </w:rPr>
        <w:t>e</w:t>
      </w:r>
      <w:r w:rsidRPr="00C845E6">
        <w:rPr>
          <w:sz w:val="16"/>
          <w:szCs w:val="16"/>
        </w:rPr>
        <w:t>tenen Gewerkschaft an den Sitzungen beratend teilnehmen; in diesem Fall sind der Zeitpunkt der Sitzung und die Tagesordnung der Gewerkschaft rechtzeitig mitzute</w:t>
      </w:r>
      <w:r w:rsidRPr="00C845E6">
        <w:rPr>
          <w:sz w:val="16"/>
          <w:szCs w:val="16"/>
        </w:rPr>
        <w:t>i</w:t>
      </w:r>
      <w:r w:rsidRPr="00C845E6">
        <w:rPr>
          <w:sz w:val="16"/>
          <w:szCs w:val="16"/>
        </w:rPr>
        <w:t>len.</w:t>
      </w:r>
      <w:r w:rsidRPr="00C845E6">
        <w:rPr>
          <w:sz w:val="16"/>
          <w:szCs w:val="16"/>
        </w:rPr>
        <w:t xml:space="preserve"> </w:t>
      </w:r>
    </w:p>
  </w:footnote>
  <w:footnote w:id="3">
    <w:p w:rsidR="00C845E6" w:rsidRPr="00C845E6" w:rsidRDefault="00C845E6" w:rsidP="00C845E6">
      <w:pPr>
        <w:pStyle w:val="Funotentext"/>
        <w:rPr>
          <w:b/>
          <w:sz w:val="16"/>
          <w:szCs w:val="16"/>
        </w:rPr>
      </w:pPr>
      <w:r w:rsidRPr="00C845E6">
        <w:rPr>
          <w:rStyle w:val="Funotenzeichen"/>
          <w:b/>
          <w:sz w:val="16"/>
          <w:szCs w:val="16"/>
        </w:rPr>
        <w:footnoteRef/>
      </w:r>
      <w:r w:rsidRPr="00C845E6">
        <w:rPr>
          <w:b/>
          <w:sz w:val="16"/>
          <w:szCs w:val="16"/>
        </w:rPr>
        <w:t xml:space="preserve"> </w:t>
      </w:r>
      <w:r w:rsidRPr="00C845E6">
        <w:rPr>
          <w:b/>
          <w:sz w:val="16"/>
          <w:szCs w:val="16"/>
        </w:rPr>
        <w:t>§ 111 Betriebsverfassungsgesetz</w:t>
      </w:r>
      <w:r w:rsidRPr="00C845E6">
        <w:rPr>
          <w:b/>
          <w:sz w:val="16"/>
          <w:szCs w:val="16"/>
        </w:rPr>
        <w:t xml:space="preserve"> </w:t>
      </w:r>
      <w:r w:rsidRPr="00C845E6">
        <w:rPr>
          <w:b/>
          <w:sz w:val="16"/>
          <w:szCs w:val="16"/>
        </w:rPr>
        <w:t>Betriebsänderungen</w:t>
      </w:r>
    </w:p>
    <w:p w:rsidR="00C845E6" w:rsidRPr="00C845E6" w:rsidRDefault="00C845E6" w:rsidP="00C845E6">
      <w:pPr>
        <w:pStyle w:val="Funotentext"/>
        <w:rPr>
          <w:b/>
          <w:sz w:val="16"/>
          <w:szCs w:val="16"/>
        </w:rPr>
      </w:pPr>
      <w:r w:rsidRPr="00C845E6">
        <w:rPr>
          <w:b/>
          <w:sz w:val="16"/>
          <w:szCs w:val="16"/>
        </w:rPr>
        <w:t>§ 112 Betriebsverfassungsgesetz</w:t>
      </w:r>
      <w:r w:rsidRPr="00C845E6">
        <w:rPr>
          <w:b/>
          <w:sz w:val="16"/>
          <w:szCs w:val="16"/>
        </w:rPr>
        <w:t xml:space="preserve"> </w:t>
      </w:r>
      <w:r w:rsidRPr="00C845E6">
        <w:rPr>
          <w:b/>
          <w:sz w:val="16"/>
          <w:szCs w:val="16"/>
        </w:rPr>
        <w:t>Interessenausgleich über die Betriebsänderung, Sozialplan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0139"/>
    <w:multiLevelType w:val="multilevel"/>
    <w:tmpl w:val="3AA4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7418C"/>
    <w:multiLevelType w:val="hybridMultilevel"/>
    <w:tmpl w:val="D702FA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BC93379"/>
    <w:multiLevelType w:val="hybridMultilevel"/>
    <w:tmpl w:val="A2B0C6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DE"/>
    <w:rsid w:val="002630FE"/>
    <w:rsid w:val="00271196"/>
    <w:rsid w:val="004F6E3E"/>
    <w:rsid w:val="005521CA"/>
    <w:rsid w:val="00563240"/>
    <w:rsid w:val="00563CE3"/>
    <w:rsid w:val="0088461F"/>
    <w:rsid w:val="009B761A"/>
    <w:rsid w:val="00AF1E3F"/>
    <w:rsid w:val="00B2074F"/>
    <w:rsid w:val="00C23CDE"/>
    <w:rsid w:val="00C845E6"/>
    <w:rsid w:val="00D03511"/>
    <w:rsid w:val="00DE29EB"/>
    <w:rsid w:val="00F02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3C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3CDE"/>
    <w:rPr>
      <w:rFonts w:ascii="Tahoma" w:hAnsi="Tahoma" w:cs="Tahoma"/>
      <w:sz w:val="16"/>
      <w:szCs w:val="16"/>
    </w:rPr>
  </w:style>
  <w:style w:type="paragraph" w:styleId="Funotentext">
    <w:name w:val="footnote text"/>
    <w:basedOn w:val="Standard"/>
    <w:link w:val="FunotentextZchn"/>
    <w:uiPriority w:val="99"/>
    <w:semiHidden/>
    <w:unhideWhenUsed/>
    <w:rsid w:val="005632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63240"/>
    <w:rPr>
      <w:sz w:val="20"/>
      <w:szCs w:val="20"/>
    </w:rPr>
  </w:style>
  <w:style w:type="character" w:styleId="Funotenzeichen">
    <w:name w:val="footnote reference"/>
    <w:basedOn w:val="Absatz-Standardschriftart"/>
    <w:uiPriority w:val="99"/>
    <w:semiHidden/>
    <w:unhideWhenUsed/>
    <w:rsid w:val="005632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3C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3CDE"/>
    <w:rPr>
      <w:rFonts w:ascii="Tahoma" w:hAnsi="Tahoma" w:cs="Tahoma"/>
      <w:sz w:val="16"/>
      <w:szCs w:val="16"/>
    </w:rPr>
  </w:style>
  <w:style w:type="paragraph" w:styleId="Funotentext">
    <w:name w:val="footnote text"/>
    <w:basedOn w:val="Standard"/>
    <w:link w:val="FunotentextZchn"/>
    <w:uiPriority w:val="99"/>
    <w:semiHidden/>
    <w:unhideWhenUsed/>
    <w:rsid w:val="0056324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63240"/>
    <w:rPr>
      <w:sz w:val="20"/>
      <w:szCs w:val="20"/>
    </w:rPr>
  </w:style>
  <w:style w:type="character" w:styleId="Funotenzeichen">
    <w:name w:val="footnote reference"/>
    <w:basedOn w:val="Absatz-Standardschriftart"/>
    <w:uiPriority w:val="99"/>
    <w:semiHidden/>
    <w:unhideWhenUsed/>
    <w:rsid w:val="00563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200391">
      <w:bodyDiv w:val="1"/>
      <w:marLeft w:val="0"/>
      <w:marRight w:val="0"/>
      <w:marTop w:val="0"/>
      <w:marBottom w:val="0"/>
      <w:divBdr>
        <w:top w:val="none" w:sz="0" w:space="0" w:color="auto"/>
        <w:left w:val="none" w:sz="0" w:space="0" w:color="auto"/>
        <w:bottom w:val="none" w:sz="0" w:space="0" w:color="auto"/>
        <w:right w:val="none" w:sz="0" w:space="0" w:color="auto"/>
      </w:divBdr>
      <w:divsChild>
        <w:div w:id="481041240">
          <w:marLeft w:val="0"/>
          <w:marRight w:val="0"/>
          <w:marTop w:val="0"/>
          <w:marBottom w:val="0"/>
          <w:divBdr>
            <w:top w:val="none" w:sz="0" w:space="0" w:color="auto"/>
            <w:left w:val="none" w:sz="0" w:space="0" w:color="auto"/>
            <w:bottom w:val="none" w:sz="0" w:space="0" w:color="auto"/>
            <w:right w:val="none" w:sz="0" w:space="0" w:color="auto"/>
          </w:divBdr>
          <w:divsChild>
            <w:div w:id="1363936290">
              <w:marLeft w:val="0"/>
              <w:marRight w:val="0"/>
              <w:marTop w:val="120"/>
              <w:marBottom w:val="0"/>
              <w:divBdr>
                <w:top w:val="none" w:sz="0" w:space="0" w:color="auto"/>
                <w:left w:val="none" w:sz="0" w:space="0" w:color="auto"/>
                <w:bottom w:val="none" w:sz="0" w:space="0" w:color="auto"/>
                <w:right w:val="none" w:sz="0" w:space="0" w:color="auto"/>
              </w:divBdr>
              <w:divsChild>
                <w:div w:id="875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740">
          <w:marLeft w:val="0"/>
          <w:marRight w:val="0"/>
          <w:marTop w:val="0"/>
          <w:marBottom w:val="0"/>
          <w:divBdr>
            <w:top w:val="none" w:sz="0" w:space="0" w:color="auto"/>
            <w:left w:val="none" w:sz="0" w:space="0" w:color="auto"/>
            <w:bottom w:val="none" w:sz="0" w:space="0" w:color="auto"/>
            <w:right w:val="none" w:sz="0" w:space="0" w:color="auto"/>
          </w:divBdr>
        </w:div>
        <w:div w:id="1068769442">
          <w:marLeft w:val="0"/>
          <w:marRight w:val="0"/>
          <w:marTop w:val="0"/>
          <w:marBottom w:val="0"/>
          <w:divBdr>
            <w:top w:val="none" w:sz="0" w:space="0" w:color="auto"/>
            <w:left w:val="none" w:sz="0" w:space="0" w:color="auto"/>
            <w:bottom w:val="none" w:sz="0" w:space="0" w:color="auto"/>
            <w:right w:val="none" w:sz="0" w:space="0" w:color="auto"/>
          </w:divBdr>
          <w:divsChild>
            <w:div w:id="168756411">
              <w:marLeft w:val="0"/>
              <w:marRight w:val="0"/>
              <w:marTop w:val="0"/>
              <w:marBottom w:val="480"/>
              <w:divBdr>
                <w:top w:val="none" w:sz="0" w:space="0" w:color="auto"/>
                <w:left w:val="none" w:sz="0" w:space="0" w:color="auto"/>
                <w:bottom w:val="none" w:sz="0" w:space="0" w:color="auto"/>
                <w:right w:val="none" w:sz="0" w:space="0" w:color="auto"/>
              </w:divBdr>
              <w:divsChild>
                <w:div w:id="751004613">
                  <w:marLeft w:val="-300"/>
                  <w:marRight w:val="0"/>
                  <w:marTop w:val="60"/>
                  <w:marBottom w:val="0"/>
                  <w:divBdr>
                    <w:top w:val="none" w:sz="0" w:space="0" w:color="auto"/>
                    <w:left w:val="none" w:sz="0" w:space="0" w:color="auto"/>
                    <w:bottom w:val="none" w:sz="0" w:space="0" w:color="auto"/>
                    <w:right w:val="none" w:sz="0" w:space="0" w:color="auto"/>
                  </w:divBdr>
                </w:div>
              </w:divsChild>
            </w:div>
            <w:div w:id="212231032">
              <w:marLeft w:val="0"/>
              <w:marRight w:val="0"/>
              <w:marTop w:val="180"/>
              <w:marBottom w:val="0"/>
              <w:divBdr>
                <w:top w:val="none" w:sz="0" w:space="0" w:color="auto"/>
                <w:left w:val="none" w:sz="0" w:space="0" w:color="auto"/>
                <w:bottom w:val="none" w:sz="0" w:space="0" w:color="auto"/>
                <w:right w:val="none" w:sz="0" w:space="0" w:color="auto"/>
              </w:divBdr>
            </w:div>
            <w:div w:id="700934836">
              <w:marLeft w:val="0"/>
              <w:marRight w:val="0"/>
              <w:marTop w:val="120"/>
              <w:marBottom w:val="0"/>
              <w:divBdr>
                <w:top w:val="none" w:sz="0" w:space="0" w:color="auto"/>
                <w:left w:val="none" w:sz="0" w:space="0" w:color="auto"/>
                <w:bottom w:val="none" w:sz="0" w:space="0" w:color="auto"/>
                <w:right w:val="none" w:sz="0" w:space="0" w:color="auto"/>
              </w:divBdr>
              <w:divsChild>
                <w:div w:id="207642135">
                  <w:marLeft w:val="0"/>
                  <w:marRight w:val="0"/>
                  <w:marTop w:val="0"/>
                  <w:marBottom w:val="0"/>
                  <w:divBdr>
                    <w:top w:val="none" w:sz="0" w:space="0" w:color="auto"/>
                    <w:left w:val="none" w:sz="0" w:space="0" w:color="auto"/>
                    <w:bottom w:val="none" w:sz="0" w:space="0" w:color="auto"/>
                    <w:right w:val="none" w:sz="0" w:space="0" w:color="auto"/>
                  </w:divBdr>
                </w:div>
              </w:divsChild>
            </w:div>
            <w:div w:id="518281468">
              <w:marLeft w:val="0"/>
              <w:marRight w:val="0"/>
              <w:marTop w:val="180"/>
              <w:marBottom w:val="0"/>
              <w:divBdr>
                <w:top w:val="none" w:sz="0" w:space="0" w:color="auto"/>
                <w:left w:val="none" w:sz="0" w:space="0" w:color="auto"/>
                <w:bottom w:val="none" w:sz="0" w:space="0" w:color="auto"/>
                <w:right w:val="none" w:sz="0" w:space="0" w:color="auto"/>
              </w:divBdr>
            </w:div>
            <w:div w:id="417213259">
              <w:marLeft w:val="0"/>
              <w:marRight w:val="0"/>
              <w:marTop w:val="120"/>
              <w:marBottom w:val="0"/>
              <w:divBdr>
                <w:top w:val="none" w:sz="0" w:space="0" w:color="auto"/>
                <w:left w:val="none" w:sz="0" w:space="0" w:color="auto"/>
                <w:bottom w:val="none" w:sz="0" w:space="0" w:color="auto"/>
                <w:right w:val="none" w:sz="0" w:space="0" w:color="auto"/>
              </w:divBdr>
              <w:divsChild>
                <w:div w:id="1536890619">
                  <w:marLeft w:val="0"/>
                  <w:marRight w:val="0"/>
                  <w:marTop w:val="0"/>
                  <w:marBottom w:val="0"/>
                  <w:divBdr>
                    <w:top w:val="none" w:sz="0" w:space="0" w:color="auto"/>
                    <w:left w:val="none" w:sz="0" w:space="0" w:color="auto"/>
                    <w:bottom w:val="none" w:sz="0" w:space="0" w:color="auto"/>
                    <w:right w:val="none" w:sz="0" w:space="0" w:color="auto"/>
                  </w:divBdr>
                </w:div>
              </w:divsChild>
            </w:div>
            <w:div w:id="2090956967">
              <w:marLeft w:val="0"/>
              <w:marRight w:val="0"/>
              <w:marTop w:val="480"/>
              <w:marBottom w:val="0"/>
              <w:divBdr>
                <w:top w:val="single" w:sz="6" w:space="12" w:color="D9D9D9"/>
                <w:left w:val="none" w:sz="0" w:space="0" w:color="auto"/>
                <w:bottom w:val="none" w:sz="0" w:space="0" w:color="auto"/>
                <w:right w:val="none" w:sz="0" w:space="0" w:color="auto"/>
              </w:divBdr>
            </w:div>
            <w:div w:id="1318801694">
              <w:marLeft w:val="0"/>
              <w:marRight w:val="0"/>
              <w:marTop w:val="240"/>
              <w:marBottom w:val="240"/>
              <w:divBdr>
                <w:top w:val="none" w:sz="0" w:space="0" w:color="auto"/>
                <w:left w:val="none" w:sz="0" w:space="0" w:color="auto"/>
                <w:bottom w:val="none" w:sz="0" w:space="0" w:color="auto"/>
                <w:right w:val="none" w:sz="0" w:space="0" w:color="auto"/>
              </w:divBdr>
            </w:div>
            <w:div w:id="2114325513">
              <w:marLeft w:val="0"/>
              <w:marRight w:val="0"/>
              <w:marTop w:val="120"/>
              <w:marBottom w:val="0"/>
              <w:divBdr>
                <w:top w:val="none" w:sz="0" w:space="0" w:color="auto"/>
                <w:left w:val="none" w:sz="0" w:space="0" w:color="auto"/>
                <w:bottom w:val="none" w:sz="0" w:space="0" w:color="auto"/>
                <w:right w:val="none" w:sz="0" w:space="0" w:color="auto"/>
              </w:divBdr>
            </w:div>
            <w:div w:id="891622341">
              <w:marLeft w:val="0"/>
              <w:marRight w:val="0"/>
              <w:marTop w:val="480"/>
              <w:marBottom w:val="0"/>
              <w:divBdr>
                <w:top w:val="single" w:sz="6" w:space="12" w:color="D9D9D9"/>
                <w:left w:val="none" w:sz="0" w:space="0" w:color="auto"/>
                <w:bottom w:val="none" w:sz="0" w:space="0" w:color="auto"/>
                <w:right w:val="none" w:sz="0" w:space="0" w:color="auto"/>
              </w:divBdr>
            </w:div>
            <w:div w:id="44261669">
              <w:marLeft w:val="0"/>
              <w:marRight w:val="0"/>
              <w:marTop w:val="240"/>
              <w:marBottom w:val="240"/>
              <w:divBdr>
                <w:top w:val="none" w:sz="0" w:space="0" w:color="auto"/>
                <w:left w:val="none" w:sz="0" w:space="0" w:color="auto"/>
                <w:bottom w:val="none" w:sz="0" w:space="0" w:color="auto"/>
                <w:right w:val="none" w:sz="0" w:space="0" w:color="auto"/>
              </w:divBdr>
            </w:div>
            <w:div w:id="1744835741">
              <w:marLeft w:val="0"/>
              <w:marRight w:val="0"/>
              <w:marTop w:val="480"/>
              <w:marBottom w:val="0"/>
              <w:divBdr>
                <w:top w:val="single" w:sz="6" w:space="12" w:color="D9D9D9"/>
                <w:left w:val="none" w:sz="0" w:space="0" w:color="auto"/>
                <w:bottom w:val="none" w:sz="0" w:space="0" w:color="auto"/>
                <w:right w:val="none" w:sz="0" w:space="0" w:color="auto"/>
              </w:divBdr>
            </w:div>
            <w:div w:id="281109720">
              <w:marLeft w:val="0"/>
              <w:marRight w:val="0"/>
              <w:marTop w:val="240"/>
              <w:marBottom w:val="240"/>
              <w:divBdr>
                <w:top w:val="none" w:sz="0" w:space="0" w:color="auto"/>
                <w:left w:val="none" w:sz="0" w:space="0" w:color="auto"/>
                <w:bottom w:val="none" w:sz="0" w:space="0" w:color="auto"/>
                <w:right w:val="none" w:sz="0" w:space="0" w:color="auto"/>
              </w:divBdr>
              <w:divsChild>
                <w:div w:id="1503082273">
                  <w:marLeft w:val="0"/>
                  <w:marRight w:val="0"/>
                  <w:marTop w:val="75"/>
                  <w:marBottom w:val="0"/>
                  <w:divBdr>
                    <w:top w:val="none" w:sz="0" w:space="0" w:color="auto"/>
                    <w:left w:val="none" w:sz="0" w:space="0" w:color="auto"/>
                    <w:bottom w:val="none" w:sz="0" w:space="0" w:color="auto"/>
                    <w:right w:val="none" w:sz="0" w:space="0" w:color="auto"/>
                  </w:divBdr>
                </w:div>
              </w:divsChild>
            </w:div>
            <w:div w:id="1253469077">
              <w:marLeft w:val="0"/>
              <w:marRight w:val="0"/>
              <w:marTop w:val="180"/>
              <w:marBottom w:val="0"/>
              <w:divBdr>
                <w:top w:val="none" w:sz="0" w:space="0" w:color="auto"/>
                <w:left w:val="none" w:sz="0" w:space="0" w:color="auto"/>
                <w:bottom w:val="none" w:sz="0" w:space="0" w:color="auto"/>
                <w:right w:val="none" w:sz="0" w:space="0" w:color="auto"/>
              </w:divBdr>
            </w:div>
            <w:div w:id="1414736289">
              <w:marLeft w:val="0"/>
              <w:marRight w:val="0"/>
              <w:marTop w:val="0"/>
              <w:marBottom w:val="0"/>
              <w:divBdr>
                <w:top w:val="none" w:sz="0" w:space="0" w:color="auto"/>
                <w:left w:val="none" w:sz="0" w:space="0" w:color="auto"/>
                <w:bottom w:val="none" w:sz="0" w:space="0" w:color="auto"/>
                <w:right w:val="none" w:sz="0" w:space="0" w:color="auto"/>
              </w:divBdr>
            </w:div>
            <w:div w:id="262038122">
              <w:marLeft w:val="0"/>
              <w:marRight w:val="0"/>
              <w:marTop w:val="180"/>
              <w:marBottom w:val="0"/>
              <w:divBdr>
                <w:top w:val="none" w:sz="0" w:space="0" w:color="auto"/>
                <w:left w:val="none" w:sz="0" w:space="0" w:color="auto"/>
                <w:bottom w:val="none" w:sz="0" w:space="0" w:color="auto"/>
                <w:right w:val="none" w:sz="0" w:space="0" w:color="auto"/>
              </w:divBdr>
            </w:div>
            <w:div w:id="7147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ris.de/r3/?docId=BJNR000130972BJNE006403308&amp;docFormat=xsl&amp;docPart=S" TargetMode="External"/><Relationship Id="rId18" Type="http://schemas.openxmlformats.org/officeDocument/2006/relationships/hyperlink" Target="https://www.juris.de/r3/?docId=BJNR012670953BJNE016600160&amp;docFormat=xsl&amp;docPart=S" TargetMode="External"/><Relationship Id="rId26" Type="http://schemas.openxmlformats.org/officeDocument/2006/relationships/hyperlink" Target="https://www.juris.de/r3/?docId=BJNR000130972BJNE011304308&amp;docFormat=xsl&amp;docPart=S" TargetMode="External"/><Relationship Id="rId3" Type="http://schemas.openxmlformats.org/officeDocument/2006/relationships/styles" Target="styles.xml"/><Relationship Id="rId21" Type="http://schemas.openxmlformats.org/officeDocument/2006/relationships/hyperlink" Target="https://www.juris.de/r3/?docId=BJNR000130972BJNE011304308&amp;docFormat=xsl&amp;docPart=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juris.de/r3/?docId=BJNR000130972BJNE011304308&amp;docFormat=xsl&amp;docPart=S" TargetMode="External"/><Relationship Id="rId17" Type="http://schemas.openxmlformats.org/officeDocument/2006/relationships/hyperlink" Target="https://www.juris.de/r3/?docId=BJNR012670953BJNE009202160&amp;docFormat=xsl&amp;docPart=S" TargetMode="External"/><Relationship Id="rId25" Type="http://schemas.openxmlformats.org/officeDocument/2006/relationships/hyperlink" Target="https://www.juris.de/r3/?docId=KSRE013180062&amp;docFormat=xsl&amp;docPart=K" TargetMode="External"/><Relationship Id="rId33" Type="http://schemas.openxmlformats.org/officeDocument/2006/relationships/hyperlink" Target="https://www.juris.de/r3/?docId=BJNR012670953BJNE009905311&amp;docFormat=xsl&amp;docPart=s" TargetMode="External"/><Relationship Id="rId2" Type="http://schemas.openxmlformats.org/officeDocument/2006/relationships/numbering" Target="numbering.xml"/><Relationship Id="rId16" Type="http://schemas.openxmlformats.org/officeDocument/2006/relationships/hyperlink" Target="https://www.juris.de/r3/?docId=BJNR012670953BJNE011605817&amp;docFormat=xsl&amp;docPart=S" TargetMode="External"/><Relationship Id="rId20" Type="http://schemas.openxmlformats.org/officeDocument/2006/relationships/hyperlink" Target="https://www.juris.de/r3/?docId=BJNR000130972BJNE005504308&amp;docFormat=xsl&amp;docPart=S" TargetMode="External"/><Relationship Id="rId29" Type="http://schemas.openxmlformats.org/officeDocument/2006/relationships/hyperlink" Target="https://www.juris.de/r3/?docId=BJNR000130972BJNE011304308&amp;docFormat=xsl&amp;docPar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ris.de/r3/?docId=BJNR000130972BJNE006403308&amp;docFormat=xsl&amp;docPart=S" TargetMode="External"/><Relationship Id="rId24" Type="http://schemas.openxmlformats.org/officeDocument/2006/relationships/hyperlink" Target="https://www.juris.de/r3/?docId=BJNR000130972BJNE011304308&amp;docFormat=xsl&amp;docPart=S" TargetMode="External"/><Relationship Id="rId32" Type="http://schemas.openxmlformats.org/officeDocument/2006/relationships/hyperlink" Target="https://www.juris.de/r3/?docId=BJNR012670953BJNE012102301&amp;docFormat=xsl&amp;docPart=S" TargetMode="External"/><Relationship Id="rId5" Type="http://schemas.openxmlformats.org/officeDocument/2006/relationships/settings" Target="settings.xml"/><Relationship Id="rId15" Type="http://schemas.openxmlformats.org/officeDocument/2006/relationships/hyperlink" Target="https://www.juris.de/r3/?docId=BJNR012670953BJNE011605817&amp;docFormat=xsl&amp;docPart=S" TargetMode="External"/><Relationship Id="rId23" Type="http://schemas.openxmlformats.org/officeDocument/2006/relationships/hyperlink" Target="https://www.juris.de/r3/?docId=BJNR000130972BJNE011304308&amp;docFormat=xsl&amp;docPart=S" TargetMode="External"/><Relationship Id="rId28" Type="http://schemas.openxmlformats.org/officeDocument/2006/relationships/hyperlink" Target="https://www.juris.de/r3/?docId=BJNR000130972BJNE014504308&amp;docFormat=xsl&amp;docPart=S" TargetMode="External"/><Relationship Id="rId10" Type="http://schemas.openxmlformats.org/officeDocument/2006/relationships/hyperlink" Target="https://www.juris.de/r3/?docId=BJNR000130972BJNE011304308&amp;docFormat=xsl&amp;docPart=S" TargetMode="External"/><Relationship Id="rId19" Type="http://schemas.openxmlformats.org/officeDocument/2006/relationships/hyperlink" Target="https://www.juris.de/r3/?docId=BJNR005330950BJNE070000301&amp;docFormat=xsl&amp;docPart=s" TargetMode="External"/><Relationship Id="rId31" Type="http://schemas.openxmlformats.org/officeDocument/2006/relationships/hyperlink" Target="https://www.juris.de/r3/?docId=BJNR000130972BJNE006403308&amp;docFormat=xsl&amp;docPart=S" TargetMode="External"/><Relationship Id="rId4" Type="http://schemas.microsoft.com/office/2007/relationships/stylesWithEffects" Target="stylesWithEffects.xml"/><Relationship Id="rId9" Type="http://schemas.openxmlformats.org/officeDocument/2006/relationships/hyperlink" Target="https://www.juris.de/r3/?docId=BJNR000130972BJNE011304308&amp;docFormat=xsl&amp;docPart=S" TargetMode="External"/><Relationship Id="rId14" Type="http://schemas.openxmlformats.org/officeDocument/2006/relationships/hyperlink" Target="https://www.juris.de/r3/?docId=BJNR000130972BJNE011304308&amp;docFormat=xsl&amp;docPart=S" TargetMode="External"/><Relationship Id="rId22" Type="http://schemas.openxmlformats.org/officeDocument/2006/relationships/hyperlink" Target="https://www.juris.de/r3/?docId=BJNR000130972BJNE006302308&amp;docFormat=xsl&amp;docPart=S" TargetMode="External"/><Relationship Id="rId27" Type="http://schemas.openxmlformats.org/officeDocument/2006/relationships/hyperlink" Target="https://www.juris.de/r3/?docId=BJNR000130972BJNE014504308&amp;docFormat=xsl&amp;docPart=S" TargetMode="External"/><Relationship Id="rId30" Type="http://schemas.openxmlformats.org/officeDocument/2006/relationships/hyperlink" Target="https://www.juris.de/r3/?docId=BJNR000130972BJNE014504308&amp;docFormat=xsl&amp;docPart=S"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645FB-D582-4304-82C8-DA0CD146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2703</Words>
  <Characters>17031</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10</cp:revision>
  <dcterms:created xsi:type="dcterms:W3CDTF">2018-05-21T15:02:00Z</dcterms:created>
  <dcterms:modified xsi:type="dcterms:W3CDTF">2018-07-13T18:12:00Z</dcterms:modified>
</cp:coreProperties>
</file>